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jc w:val="center"/>
      </w:pPr>
      <w:r>
        <w:drawing>
          <wp:inline distT="0" distB="0" distL="0" distR="0">
            <wp:extent cx="4000500" cy="1571625"/>
            <wp:effectExtent t="0" r="0" b="0" l="0"/>
            <wp:docPr id="1" name="PickTwoLogo" descr="PickTwo logo" title="PickT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4000500" cy="1571625"/>
                    </a:xfrm>
                    <a:prstGeom prst="rect">
                      <a:avLst/>
                    </a:prstGeom>
                  </pic:spPr>
                </pic:pic>
              </a:graphicData>
            </a:graphic>
          </wp:inline>
        </w:drawing>
      </w:r>
    </w:p>
    <w:p>
      <w:pPr>
        <w:spacing w:before="1800"/>
      </w:pPr>
      <w:r>
        <w:t xml:space="preserve"/>
      </w:r>
    </w:p>
    <w:p>
      <w:pPr>
        <w:spacing w:after="120"/>
        <w:jc w:val="center"/>
      </w:pPr>
      <w:r>
        <w:rPr>
          <w:rFonts w:ascii="Montserrat" w:cs="Montserrat" w:eastAsia="Montserrat" w:hAnsi="Montserrat"/>
          <w:b w:val="false"/>
          <w:bCs w:val="false"/>
          <w:color w:val="002C51"/>
          <w:spacing w:val="100"/>
          <w:sz w:val="48"/>
          <w:szCs w:val="48"/>
        </w:rPr>
        <w:t xml:space="preserve">BRAND MANUAL</w:t>
      </w:r>
    </w:p>
    <w:p>
      <w:pPr>
        <w:spacing w:after="120"/>
        <w:jc w:val="center"/>
      </w:pPr>
      <w:r>
        <w:rPr>
          <w:rFonts w:ascii="Montserrat" w:cs="Montserrat" w:eastAsia="Montserrat" w:hAnsi="Montserrat"/>
          <w:color w:val="999999"/>
          <w:sz w:val="22"/>
          <w:szCs w:val="22"/>
        </w:rPr>
        <w:t xml:space="preserve">Version 1.0  ·  May 2026</w:t>
      </w:r>
    </w:p>
    <w:p>
      <w:r>
        <w:br w:type="page"/>
      </w:r>
    </w:p>
    <w:p>
      <w:pPr>
        <w:pStyle w:val="Heading1"/>
      </w:pPr>
      <w:r>
        <w:rPr>
          <w:rFonts w:ascii="Montserrat" w:cs="Montserrat" w:eastAsia="Montserrat" w:hAnsi="Montserrat"/>
          <w:color w:val="002C51"/>
        </w:rPr>
        <w:t xml:space="preserve">Welcome</w:t>
      </w:r>
    </w:p>
    <w:p>
      <w:pPr>
        <w:pBdr>
          <w:bottom w:val="single" w:color="CCCCCC" w:sz="6" w:space="1"/>
        </w:pBdr>
      </w:pPr>
      <w:r>
        <w:t xml:space="preserve"/>
      </w:r>
    </w:p>
    <w:p>
      <w:pPr>
        <w:spacing w:after="120"/>
      </w:pPr>
      <w:r>
        <w:rPr>
          <w:rFonts w:ascii="Montserrat" w:cs="Montserrat" w:eastAsia="Montserrat" w:hAnsi="Montserrat"/>
          <w:color w:val="434343"/>
          <w:sz w:val="22"/>
          <w:szCs w:val="22"/>
        </w:rPr>
        <w:t xml:space="preserve">This manual defines how the PickTwo brand is presented across documents, digital platforms, supplier submissions, and proposals. Applied consistently, these standards make every PickTwo touchpoint instantly recognisable — and signal the same discipline and reliability we promise our clients.</w:t>
      </w:r>
    </w:p>
    <w:p>
      <w:r>
        <w:t xml:space="preserve"/>
      </w:r>
    </w:p>
    <w:p>
      <w:pPr>
        <w:pStyle w:val="Heading3"/>
      </w:pPr>
      <w:r>
        <w:rPr>
          <w:rFonts w:ascii="Montserrat" w:cs="Montserrat" w:eastAsia="Montserrat" w:hAnsi="Montserrat"/>
          <w:color w:val="002C51"/>
        </w:rPr>
        <w:t xml:space="preserve">What we do</w:t>
      </w:r>
    </w:p>
    <w:p>
      <w:pPr>
        <w:spacing w:after="120"/>
      </w:pPr>
      <w:r>
        <w:rPr>
          <w:rFonts w:ascii="Montserrat" w:cs="Montserrat" w:eastAsia="Montserrat" w:hAnsi="Montserrat"/>
          <w:color w:val="434343"/>
          <w:sz w:val="22"/>
          <w:szCs w:val="22"/>
        </w:rPr>
        <w:t xml:space="preserve">PickTwo is a specialist search partner for hard-to-fill, high-judgment roles, applying that discipline today to AI-led hiring and managed agent capacity in South African financial services. Three service lines:</w:t>
      </w:r>
    </w:p>
    <w:p>
      <w:pPr>
        <w:pStyle w:val="ListParagraph"/>
        <w:numPr>
          <w:ilvl w:val="0"/>
          <w:numId w:val="2"/>
        </w:numPr>
      </w:pPr>
      <w:r>
        <w:rPr>
          <w:rFonts w:ascii="Montserrat" w:cs="Montserrat" w:eastAsia="Montserrat" w:hAnsi="Montserrat"/>
          <w:color w:val="434343"/>
          <w:sz w:val="22"/>
          <w:szCs w:val="22"/>
        </w:rPr>
        <w:t xml:space="preserve">AI-skilled specialists — people who design, build, ship and run AI systems.</w:t>
      </w:r>
    </w:p>
    <w:p>
      <w:pPr>
        <w:pStyle w:val="ListParagraph"/>
        <w:numPr>
          <w:ilvl w:val="0"/>
          <w:numId w:val="2"/>
        </w:numPr>
      </w:pPr>
      <w:r>
        <w:rPr>
          <w:rFonts w:ascii="Montserrat" w:cs="Montserrat" w:eastAsia="Montserrat" w:hAnsi="Montserrat"/>
          <w:color w:val="434343"/>
          <w:sz w:val="22"/>
          <w:szCs w:val="22"/>
        </w:rPr>
        <w:t xml:space="preserve">AI-fluent operators — roles whose value is the AI tools they use fluently in the work.</w:t>
      </w:r>
    </w:p>
    <w:p>
      <w:pPr>
        <w:pStyle w:val="ListParagraph"/>
        <w:numPr>
          <w:ilvl w:val="0"/>
          <w:numId w:val="2"/>
        </w:numPr>
      </w:pPr>
      <w:r>
        <w:rPr>
          <w:rFonts w:ascii="Montserrat" w:cs="Montserrat" w:eastAsia="Montserrat" w:hAnsi="Montserrat"/>
          <w:color w:val="434343"/>
          <w:sz w:val="22"/>
          <w:szCs w:val="22"/>
        </w:rPr>
        <w:t xml:space="preserve">Managed AI agents — agent capacity we design, run and evaluate, for contract, project and surge work.</w:t>
      </w:r>
    </w:p>
    <w:p>
      <w:r>
        <w:t xml:space="preserve"/>
      </w:r>
    </w:p>
    <w:p>
      <w:pPr>
        <w:pStyle w:val="Heading3"/>
      </w:pPr>
      <w:r>
        <w:rPr>
          <w:rFonts w:ascii="Montserrat" w:cs="Montserrat" w:eastAsia="Montserrat" w:hAnsi="Montserrat"/>
          <w:color w:val="002C51"/>
        </w:rPr>
        <w:t xml:space="preserve">Our story</w:t>
      </w:r>
    </w:p>
    <w:p>
      <w:pPr>
        <w:spacing w:after="120"/>
      </w:pPr>
      <w:r>
        <w:rPr>
          <w:rFonts w:ascii="Montserrat" w:cs="Montserrat" w:eastAsia="Montserrat" w:hAnsi="Montserrat"/>
          <w:color w:val="434343"/>
          <w:sz w:val="22"/>
          <w:szCs w:val="22"/>
        </w:rPr>
        <w:t xml:space="preserve">Hard roles do not fail for lack of CVs. They fail because of too many maybes: people who look close on paper but do not fit the work. PickTwo works the other way. We define the strengths that matter, reach beyond the obvious market, and bring back two finalists worth a serious conversation. Today, we do that for AI-led work in South African financial services.</w:t>
      </w:r>
    </w:p>
    <w:p>
      <w:pPr>
        <w:spacing w:after="120"/>
      </w:pPr>
      <w:r>
        <w:rPr>
          <w:rFonts w:ascii="Montserrat" w:cs="Montserrat" w:eastAsia="Montserrat" w:hAnsi="Montserrat"/>
          <w:b/>
          <w:bCs/>
          <w:color w:val="002C51"/>
          <w:sz w:val="22"/>
          <w:szCs w:val="22"/>
        </w:rPr>
        <w:t xml:space="preserve">No more almosts. Two worth choosing.</w:t>
      </w:r>
    </w:p>
    <w:p>
      <w:r>
        <w:br w:type="page"/>
      </w:r>
    </w:p>
    <w:p>
      <w:pPr>
        <w:pStyle w:val="Heading1"/>
      </w:pPr>
      <w:r>
        <w:rPr>
          <w:rFonts w:ascii="Montserrat" w:cs="Montserrat" w:eastAsia="Montserrat" w:hAnsi="Montserrat"/>
          <w:color w:val="002C51"/>
        </w:rPr>
        <w:t xml:space="preserve">Messaging system</w:t>
      </w:r>
    </w:p>
    <w:p>
      <w:pPr>
        <w:pBdr>
          <w:bottom w:val="single" w:color="CCCCCC" w:sz="6" w:space="1"/>
        </w:pBdr>
      </w:pPr>
      <w:r>
        <w:t xml:space="preserve"/>
      </w:r>
    </w:p>
    <w:p>
      <w:pPr>
        <w:spacing w:after="120"/>
      </w:pPr>
      <w:r>
        <w:rPr>
          <w:rFonts w:ascii="Montserrat" w:cs="Montserrat" w:eastAsia="Montserrat" w:hAnsi="Montserrat"/>
          <w:color w:val="434343"/>
          <w:sz w:val="22"/>
          <w:szCs w:val="22"/>
        </w:rPr>
        <w:t xml:space="preserve">This page is the settled source of truth for PickTwo language. Do not introduce alternative taglines, new narrative routes, or unsupported claims.</w:t>
      </w:r>
    </w:p>
    <w:p>
      <w:r>
        <w:t xml:space="preserve"/>
      </w:r>
    </w:p>
    <w:p>
      <w:pPr>
        <w:pStyle w:val="Heading3"/>
      </w:pPr>
      <w:r>
        <w:rPr>
          <w:rFonts w:ascii="Montserrat" w:cs="Montserrat" w:eastAsia="Montserrat" w:hAnsi="Montserrat"/>
          <w:color w:val="002C51"/>
        </w:rPr>
        <w:t xml:space="preserve">Two taglines, two jobs</w:t>
      </w:r>
    </w:p>
    <w:p>
      <w:pPr>
        <w:spacing w:after="120"/>
      </w:pPr>
      <w:r>
        <w:rPr>
          <w:rFonts w:ascii="Montserrat" w:cs="Montserrat" w:eastAsia="Montserrat" w:hAnsi="Montserrat"/>
          <w:b/>
          <w:bCs/>
          <w:color w:val="002C51"/>
          <w:sz w:val="22"/>
          <w:szCs w:val="22"/>
        </w:rPr>
        <w:t xml:space="preserve">Master line — “Two worth choosing.”  </w:t>
      </w:r>
      <w:r>
        <w:rPr>
          <w:rFonts w:ascii="Montserrat" w:cs="Montserrat" w:eastAsia="Montserrat" w:hAnsi="Montserrat"/>
          <w:color w:val="434343"/>
          <w:sz w:val="22"/>
          <w:szCs w:val="22"/>
        </w:rPr>
        <w:t xml:space="preserve">Use under the logo and in bare contexts: logo lock-ups, email signatures, footers, supplier portals, proposal and document covers, presentation footers. It explains the name quietly and carries the promise.</w:t>
      </w:r>
    </w:p>
    <w:p>
      <w:pPr>
        <w:spacing w:after="120"/>
      </w:pPr>
      <w:r>
        <w:rPr>
          <w:rFonts w:ascii="Montserrat" w:cs="Montserrat" w:eastAsia="Montserrat" w:hAnsi="Montserrat"/>
          <w:b/>
          <w:bCs/>
          <w:color w:val="002C51"/>
          <w:sz w:val="22"/>
          <w:szCs w:val="22"/>
        </w:rPr>
        <w:t xml:space="preserve">Campaign line — “No more almosts.”  </w:t>
      </w:r>
      <w:r>
        <w:rPr>
          <w:rFonts w:ascii="Montserrat" w:cs="Montserrat" w:eastAsia="Montserrat" w:hAnsi="Montserrat"/>
          <w:color w:val="434343"/>
          <w:sz w:val="22"/>
          <w:szCs w:val="22"/>
        </w:rPr>
        <w:t xml:space="preserve">Use where there is room to explain the idea in the same view: website heroes, deck covers, section openers, sales emails. Always pair it nearby with copy that explains the service. Never leave it floating alone.</w:t>
      </w:r>
    </w:p>
    <w:p>
      <w:r>
        <w:t xml:space="preserve"/>
      </w:r>
    </w:p>
    <w:p>
      <w:pPr>
        <w:pStyle w:val="Heading3"/>
      </w:pPr>
      <w:r>
        <w:rPr>
          <w:rFonts w:ascii="Montserrat" w:cs="Montserrat" w:eastAsia="Montserrat" w:hAnsi="Montserrat"/>
          <w:color w:val="002C51"/>
        </w:rPr>
        <w:t xml:space="preserve">The system</w:t>
      </w:r>
    </w:p>
    <w:p>
      <w:pPr>
        <w:pStyle w:val="ListParagraph"/>
        <w:numPr>
          <w:ilvl w:val="0"/>
          <w:numId w:val="2"/>
        </w:numPr>
      </w:pPr>
      <w:r>
        <w:rPr>
          <w:rFonts w:ascii="Montserrat" w:cs="Montserrat" w:eastAsia="Montserrat" w:hAnsi="Montserrat"/>
          <w:color w:val="434343"/>
          <w:sz w:val="22"/>
          <w:szCs w:val="22"/>
        </w:rPr>
        <w:t xml:space="preserve">Category: specialist search for hard-to-fill, high-judgment roles.</w:t>
      </w:r>
    </w:p>
    <w:p>
      <w:pPr>
        <w:pStyle w:val="ListParagraph"/>
        <w:numPr>
          <w:ilvl w:val="0"/>
          <w:numId w:val="2"/>
        </w:numPr>
      </w:pPr>
      <w:r>
        <w:rPr>
          <w:rFonts w:ascii="Montserrat" w:cs="Montserrat" w:eastAsia="Montserrat" w:hAnsi="Montserrat"/>
          <w:color w:val="434343"/>
          <w:sz w:val="22"/>
          <w:szCs w:val="22"/>
        </w:rPr>
        <w:t xml:space="preserve">Belief: fit beats volume.</w:t>
      </w:r>
    </w:p>
    <w:p>
      <w:pPr>
        <w:pStyle w:val="ListParagraph"/>
        <w:numPr>
          <w:ilvl w:val="0"/>
          <w:numId w:val="2"/>
        </w:numPr>
      </w:pPr>
      <w:r>
        <w:rPr>
          <w:rFonts w:ascii="Montserrat" w:cs="Montserrat" w:eastAsia="Montserrat" w:hAnsi="Montserrat"/>
          <w:color w:val="434343"/>
          <w:sz w:val="22"/>
          <w:szCs w:val="22"/>
        </w:rPr>
        <w:t xml:space="preserve">Enemy: the pile of almosts — too many maybes, weak shortlists, lookalike CVs.</w:t>
      </w:r>
    </w:p>
    <w:p>
      <w:pPr>
        <w:pStyle w:val="ListParagraph"/>
        <w:numPr>
          <w:ilvl w:val="0"/>
          <w:numId w:val="2"/>
        </w:numPr>
      </w:pPr>
      <w:r>
        <w:rPr>
          <w:rFonts w:ascii="Montserrat" w:cs="Montserrat" w:eastAsia="Montserrat" w:hAnsi="Montserrat"/>
          <w:color w:val="434343"/>
          <w:sz w:val="22"/>
          <w:szCs w:val="22"/>
        </w:rPr>
        <w:t xml:space="preserve">Promise: two finalists worth choosing — after a proper search. Search wide; choose narrow.</w:t>
      </w:r>
    </w:p>
    <w:p>
      <w:r>
        <w:t xml:space="preserve"/>
      </w:r>
    </w:p>
    <w:p>
      <w:pPr>
        <w:pStyle w:val="Heading3"/>
      </w:pPr>
      <w:r>
        <w:rPr>
          <w:rFonts w:ascii="Montserrat" w:cs="Montserrat" w:eastAsia="Montserrat" w:hAnsi="Montserrat"/>
          <w:color w:val="002C51"/>
        </w:rPr>
        <w:t xml:space="preserve">Proof pillars</w:t>
      </w:r>
    </w:p>
    <w:p>
      <w:pPr>
        <w:pStyle w:val="ListParagraph"/>
        <w:numPr>
          <w:ilvl w:val="0"/>
          <w:numId w:val="2"/>
        </w:numPr>
      </w:pPr>
      <w:r>
        <w:rPr>
          <w:rFonts w:ascii="Montserrat" w:cs="Montserrat" w:eastAsia="Montserrat" w:hAnsi="Montserrat"/>
          <w:color w:val="434343"/>
          <w:sz w:val="22"/>
          <w:szCs w:val="22"/>
        </w:rPr>
        <w:t xml:space="preserve">Access — we know people who are not on the open market.</w:t>
      </w:r>
    </w:p>
    <w:p>
      <w:pPr>
        <w:pStyle w:val="ListParagraph"/>
        <w:numPr>
          <w:ilvl w:val="0"/>
          <w:numId w:val="2"/>
        </w:numPr>
      </w:pPr>
      <w:r>
        <w:rPr>
          <w:rFonts w:ascii="Montserrat" w:cs="Montserrat" w:eastAsia="Montserrat" w:hAnsi="Montserrat"/>
          <w:color w:val="434343"/>
          <w:sz w:val="22"/>
          <w:szCs w:val="22"/>
        </w:rPr>
        <w:t xml:space="preserve">Persuasion — we know how to get the right person into the conversation.</w:t>
      </w:r>
    </w:p>
    <w:p>
      <w:pPr>
        <w:pStyle w:val="ListParagraph"/>
        <w:numPr>
          <w:ilvl w:val="0"/>
          <w:numId w:val="2"/>
        </w:numPr>
      </w:pPr>
      <w:r>
        <w:rPr>
          <w:rFonts w:ascii="Montserrat" w:cs="Montserrat" w:eastAsia="Montserrat" w:hAnsi="Montserrat"/>
          <w:color w:val="434343"/>
          <w:sz w:val="22"/>
          <w:szCs w:val="22"/>
        </w:rPr>
        <w:t xml:space="preserve">Judgment — we test for the work, not the keywords.</w:t>
      </w:r>
    </w:p>
    <w:p>
      <w:pPr>
        <w:pStyle w:val="ListParagraph"/>
        <w:numPr>
          <w:ilvl w:val="0"/>
          <w:numId w:val="2"/>
        </w:numPr>
      </w:pPr>
      <w:r>
        <w:rPr>
          <w:rFonts w:ascii="Montserrat" w:cs="Montserrat" w:eastAsia="Montserrat" w:hAnsi="Montserrat"/>
          <w:color w:val="434343"/>
          <w:sz w:val="22"/>
          <w:szCs w:val="22"/>
        </w:rPr>
        <w:t xml:space="preserve">Shortlist — we bring two finalists, not a pile.</w:t>
      </w:r>
    </w:p>
    <w:p>
      <w:pPr>
        <w:pStyle w:val="ListParagraph"/>
        <w:numPr>
          <w:ilvl w:val="0"/>
          <w:numId w:val="2"/>
        </w:numPr>
      </w:pPr>
      <w:r>
        <w:rPr>
          <w:rFonts w:ascii="Montserrat" w:cs="Montserrat" w:eastAsia="Montserrat" w:hAnsi="Montserrat"/>
          <w:color w:val="434343"/>
          <w:sz w:val="22"/>
          <w:szCs w:val="22"/>
        </w:rPr>
        <w:t xml:space="preserve">Care — we move fast without being loose.</w:t>
      </w:r>
    </w:p>
    <w:p>
      <w:r>
        <w:t xml:space="preserve"/>
      </w:r>
    </w:p>
    <w:p>
      <w:pPr>
        <w:pStyle w:val="Heading3"/>
      </w:pPr>
      <w:r>
        <w:rPr>
          <w:rFonts w:ascii="Montserrat" w:cs="Montserrat" w:eastAsia="Montserrat" w:hAnsi="Montserrat"/>
          <w:color w:val="002C51"/>
        </w:rPr>
        <w:t xml:space="preserve">Voice</w:t>
      </w:r>
    </w:p>
    <w:p>
      <w:pPr>
        <w:spacing w:after="120"/>
      </w:pPr>
      <w:r>
        <w:rPr>
          <w:rFonts w:ascii="Montserrat" w:cs="Montserrat" w:eastAsia="Montserrat" w:hAnsi="Montserrat"/>
          <w:color w:val="434343"/>
          <w:sz w:val="22"/>
          <w:szCs w:val="22"/>
        </w:rPr>
        <w:t xml:space="preserve">Calm. Exact. Commercially useful. Not cold, not flashy, not future-of-work theatre. Say the thing plainly — words a CFO, hiring manager or procurement lead would use. Keep the tension visible. Make proof do the work; don't overclaim. Use AI as context, not as every line. Never make 'two' sound lazy — always imply a serious search first.</w:t>
      </w:r>
    </w:p>
    <w:p>
      <w:r>
        <w:t xml:space="preserve"/>
      </w:r>
    </w:p>
    <w:p>
      <w:pPr>
        <w:pStyle w:val="Heading3"/>
      </w:pPr>
      <w:r>
        <w:rPr>
          <w:rFonts w:ascii="Montserrat" w:cs="Montserrat" w:eastAsia="Montserrat" w:hAnsi="Montserrat"/>
          <w:color w:val="002C51"/>
        </w:rPr>
        <w:t xml:space="preserve">Do not write / write instead</w:t>
      </w:r>
    </w:p>
    <w:p>
      <w:pPr>
        <w:pStyle w:val="ListParagraph"/>
        <w:numPr>
          <w:ilvl w:val="0"/>
          <w:numId w:val="2"/>
        </w:numPr>
      </w:pPr>
      <w:r>
        <w:rPr>
          <w:rFonts w:ascii="Montserrat" w:cs="Montserrat" w:eastAsia="Montserrat" w:hAnsi="Montserrat"/>
          <w:color w:val="434343"/>
          <w:sz w:val="22"/>
          <w:szCs w:val="22"/>
        </w:rPr>
        <w:t xml:space="preserve">“We place the AI workforce” → “We find hard-to-reach people for hard-to-fill AI roles.”</w:t>
      </w:r>
    </w:p>
    <w:p>
      <w:pPr>
        <w:pStyle w:val="ListParagraph"/>
        <w:numPr>
          <w:ilvl w:val="0"/>
          <w:numId w:val="2"/>
        </w:numPr>
      </w:pPr>
      <w:r>
        <w:rPr>
          <w:rFonts w:ascii="Montserrat" w:cs="Montserrat" w:eastAsia="Montserrat" w:hAnsi="Montserrat"/>
          <w:color w:val="434343"/>
          <w:sz w:val="22"/>
          <w:szCs w:val="22"/>
        </w:rPr>
        <w:t xml:space="preserve">“Precision beats perfection” → “Fit beats volume.”</w:t>
      </w:r>
    </w:p>
    <w:p>
      <w:pPr>
        <w:pStyle w:val="ListParagraph"/>
        <w:numPr>
          <w:ilvl w:val="0"/>
          <w:numId w:val="2"/>
        </w:numPr>
      </w:pPr>
      <w:r>
        <w:rPr>
          <w:rFonts w:ascii="Montserrat" w:cs="Montserrat" w:eastAsia="Montserrat" w:hAnsi="Montserrat"/>
          <w:color w:val="434343"/>
          <w:sz w:val="22"/>
          <w:szCs w:val="22"/>
        </w:rPr>
        <w:t xml:space="preserve">“Pick two, not ten” → “We search widely, then bring back two finalists.”</w:t>
      </w:r>
    </w:p>
    <w:p>
      <w:pPr>
        <w:pStyle w:val="ListParagraph"/>
        <w:numPr>
          <w:ilvl w:val="0"/>
          <w:numId w:val="2"/>
        </w:numPr>
      </w:pPr>
      <w:r>
        <w:rPr>
          <w:rFonts w:ascii="Montserrat" w:cs="Montserrat" w:eastAsia="Montserrat" w:hAnsi="Montserrat"/>
          <w:color w:val="434343"/>
          <w:sz w:val="22"/>
          <w:szCs w:val="22"/>
        </w:rPr>
        <w:t xml:space="preserve">“We land the people others can't” → “We search beyond the obvious market and engage people who are not actively looking.”</w:t>
      </w:r>
    </w:p>
    <w:p>
      <w:r>
        <w:br w:type="page"/>
      </w:r>
    </w:p>
    <w:p>
      <w:pPr>
        <w:pStyle w:val="Heading1"/>
      </w:pPr>
      <w:r>
        <w:rPr>
          <w:rFonts w:ascii="Montserrat" w:cs="Montserrat" w:eastAsia="Montserrat" w:hAnsi="Montserrat"/>
          <w:color w:val="002C51"/>
        </w:rPr>
        <w:t xml:space="preserve">The logo</w:t>
      </w:r>
    </w:p>
    <w:p>
      <w:pPr>
        <w:pBdr>
          <w:bottom w:val="single" w:color="CCCCCC" w:sz="6" w:space="1"/>
        </w:pBdr>
      </w:pPr>
      <w:r>
        <w:t xml:space="preserve"/>
      </w:r>
    </w:p>
    <w:p>
      <w:pPr>
        <w:spacing w:after="120"/>
      </w:pPr>
      <w:r>
        <w:rPr>
          <w:rFonts w:ascii="Montserrat" w:cs="Montserrat" w:eastAsia="Montserrat" w:hAnsi="Montserrat"/>
          <w:color w:val="434343"/>
          <w:sz w:val="22"/>
          <w:szCs w:val="22"/>
        </w:rPr>
        <w:t xml:space="preserve">The PickTwo logo combines an interlocking-square mark with a two-tone wordmark. The two squares stand for the two finalists worth choosing — a deliberate, considered shortlist — and the navy intersection marks where the two strong choices meet. The wordmark is set in Montserrat Bold.</w:t>
      </w:r>
    </w:p>
    <w:p>
      <w:r>
        <w:t xml:space="preserve"/>
      </w:r>
    </w:p>
    <w:p>
      <w:pPr>
        <w:pStyle w:val="Heading2"/>
      </w:pPr>
      <w:r>
        <w:rPr>
          <w:rFonts w:ascii="Montserrat" w:cs="Montserrat" w:eastAsia="Montserrat" w:hAnsi="Montserrat"/>
          <w:color w:val="0066CC"/>
        </w:rPr>
        <w:t xml:space="preserve">Primary logo</w:t>
      </w:r>
    </w:p>
    <w:p>
      <w:pPr>
        <w:spacing w:after="120"/>
      </w:pPr>
      <w:r>
        <w:rPr>
          <w:rFonts w:ascii="Montserrat" w:cs="Montserrat" w:eastAsia="Montserrat" w:hAnsi="Montserrat"/>
          <w:color w:val="434343"/>
          <w:sz w:val="22"/>
          <w:szCs w:val="22"/>
        </w:rPr>
        <w:t xml:space="preserve">This is the master version. Use the wide lock-up wherever horizontal space permits — on letterheads, proposals, email signatures and websites. The version with the tagline lock-up is reserved for cover pages, key marketing touchpoints, and first-impression contexts.</w:t>
      </w:r>
    </w:p>
    <w:p>
      <w:r>
        <w:t xml:space="preserve"/>
      </w:r>
    </w:p>
    <w:p>
      <w:pPr>
        <w:jc w:val="left"/>
      </w:pPr>
      <w:r>
        <w:drawing>
          <wp:inline distT="0" distB="0" distL="0" distR="0">
            <wp:extent cx="3429000" cy="1047750"/>
            <wp:effectExtent t="0" r="0" b="0" l="0"/>
            <wp:docPr id="1" name="PickTwoLogo" descr="PickTwo logo" title="PickT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3429000" cy="1047750"/>
                    </a:xfrm>
                    <a:prstGeom prst="rect">
                      <a:avLst/>
                    </a:prstGeom>
                  </pic:spPr>
                </pic:pic>
              </a:graphicData>
            </a:graphic>
          </wp:inline>
        </w:drawing>
      </w:r>
    </w:p>
    <w:p>
      <w:pPr>
        <w:spacing w:after="120"/>
        <w:jc w:val="center"/>
      </w:pPr>
      <w:r>
        <w:rPr>
          <w:rFonts w:ascii="Montserrat" w:cs="Montserrat" w:eastAsia="Montserrat" w:hAnsi="Montserrat"/>
          <w:color w:val="999999"/>
          <w:sz w:val="18"/>
          <w:szCs w:val="18"/>
        </w:rPr>
        <w:t xml:space="preserve">Primary · wide · no tagline  ·  picktwo-wide.svg</w:t>
      </w:r>
    </w:p>
    <w:p>
      <w:r>
        <w:t xml:space="preserve"/>
      </w:r>
    </w:p>
    <w:p>
      <w:pPr>
        <w:jc w:val="left"/>
      </w:pPr>
      <w:r>
        <w:drawing>
          <wp:inline distT="0" distB="0" distL="0" distR="0">
            <wp:extent cx="3429000" cy="1333500"/>
            <wp:effectExtent t="0" r="0" b="0" l="0"/>
            <wp:docPr id="1" name="PickTwoLogo" descr="PickTwo logo" title="PickT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3429000" cy="1333500"/>
                    </a:xfrm>
                    <a:prstGeom prst="rect">
                      <a:avLst/>
                    </a:prstGeom>
                  </pic:spPr>
                </pic:pic>
              </a:graphicData>
            </a:graphic>
          </wp:inline>
        </w:drawing>
      </w:r>
    </w:p>
    <w:p>
      <w:pPr>
        <w:spacing w:after="120"/>
        <w:jc w:val="center"/>
      </w:pPr>
      <w:r>
        <w:rPr>
          <w:rFonts w:ascii="Montserrat" w:cs="Montserrat" w:eastAsia="Montserrat" w:hAnsi="Montserrat"/>
          <w:color w:val="999999"/>
          <w:sz w:val="18"/>
          <w:szCs w:val="18"/>
        </w:rPr>
        <w:t xml:space="preserve">Primary · wide · with tagline  ·  picktwo-wide-tagline.svg</w:t>
      </w:r>
    </w:p>
    <w:p>
      <w:r>
        <w:br w:type="page"/>
      </w:r>
    </w:p>
    <w:p>
      <w:pPr>
        <w:pStyle w:val="Heading2"/>
      </w:pPr>
      <w:r>
        <w:rPr>
          <w:rFonts w:ascii="Montserrat" w:cs="Montserrat" w:eastAsia="Montserrat" w:hAnsi="Montserrat"/>
          <w:color w:val="0066CC"/>
        </w:rPr>
        <w:t xml:space="preserve">Variations</w:t>
      </w:r>
    </w:p>
    <w:p>
      <w:pPr>
        <w:spacing w:after="120"/>
      </w:pPr>
      <w:r>
        <w:rPr>
          <w:rFonts w:ascii="Montserrat" w:cs="Montserrat" w:eastAsia="Montserrat" w:hAnsi="Montserrat"/>
          <w:color w:val="434343"/>
          <w:sz w:val="22"/>
          <w:szCs w:val="22"/>
        </w:rPr>
        <w:t xml:space="preserve">Use the square lock-up when the horizontal version would be cramped — social profile graphics, document corners, footer chips, and supplier-portal thumbnails. Use the monochrome and reverse versions only when full colour is not possible.</w:t>
      </w:r>
    </w:p>
    <w:p>
      <w:r>
        <w:t xml:space="preserve"/>
      </w:r>
    </w:p>
    <w:p>
      <w:pPr>
        <w:jc w:val="left"/>
      </w:pPr>
      <w:r>
        <w:drawing>
          <wp:inline distT="0" distB="0" distL="0" distR="0">
            <wp:extent cx="1905000" cy="1905000"/>
            <wp:effectExtent t="0" r="0" b="0" l="0"/>
            <wp:docPr id="1" name="PickTwoLogo" descr="PickTwo logo" title="PickT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1905000" cy="1905000"/>
                    </a:xfrm>
                    <a:prstGeom prst="rect">
                      <a:avLst/>
                    </a:prstGeom>
                  </pic:spPr>
                </pic:pic>
              </a:graphicData>
            </a:graphic>
          </wp:inline>
        </w:drawing>
      </w:r>
    </w:p>
    <w:p>
      <w:pPr>
        <w:spacing w:after="120"/>
        <w:jc w:val="center"/>
      </w:pPr>
      <w:r>
        <w:rPr>
          <w:rFonts w:ascii="Montserrat" w:cs="Montserrat" w:eastAsia="Montserrat" w:hAnsi="Montserrat"/>
          <w:color w:val="999999"/>
          <w:sz w:val="18"/>
          <w:szCs w:val="18"/>
        </w:rPr>
        <w:t xml:space="preserve">Square · no tagline  ·  picktwo-square.svg</w:t>
      </w:r>
    </w:p>
    <w:p>
      <w:r>
        <w:t xml:space="preserve"/>
      </w:r>
    </w:p>
    <w:p>
      <w:pPr>
        <w:jc w:val="left"/>
      </w:pPr>
      <w:r>
        <w:drawing>
          <wp:inline distT="0" distB="0" distL="0" distR="0">
            <wp:extent cx="1905000" cy="1905000"/>
            <wp:effectExtent t="0" r="0" b="0" l="0"/>
            <wp:docPr id="1" name="PickTwoLogo" descr="PickTwo logo" title="PickT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1905000" cy="1905000"/>
                    </a:xfrm>
                    <a:prstGeom prst="rect">
                      <a:avLst/>
                    </a:prstGeom>
                  </pic:spPr>
                </pic:pic>
              </a:graphicData>
            </a:graphic>
          </wp:inline>
        </w:drawing>
      </w:r>
    </w:p>
    <w:p>
      <w:pPr>
        <w:spacing w:after="120"/>
        <w:jc w:val="center"/>
      </w:pPr>
      <w:r>
        <w:rPr>
          <w:rFonts w:ascii="Montserrat" w:cs="Montserrat" w:eastAsia="Montserrat" w:hAnsi="Montserrat"/>
          <w:color w:val="999999"/>
          <w:sz w:val="18"/>
          <w:szCs w:val="18"/>
        </w:rPr>
        <w:t xml:space="preserve">Square · with tagline  ·  picktwo-square-tagline.svg</w:t>
      </w:r>
    </w:p>
    <w:p>
      <w:r>
        <w:t xml:space="preserve"/>
      </w:r>
    </w:p>
    <w:p>
      <w:pPr>
        <w:jc w:val="left"/>
      </w:pPr>
      <w:r>
        <w:drawing>
          <wp:inline distT="0" distB="0" distL="0" distR="0">
            <wp:extent cx="1238250" cy="1238250"/>
            <wp:effectExtent t="0" r="0" b="0" l="0"/>
            <wp:docPr id="1" name="PickTwoLogo" descr="PickTwo logo" title="PickT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1238250" cy="1238250"/>
                    </a:xfrm>
                    <a:prstGeom prst="rect">
                      <a:avLst/>
                    </a:prstGeom>
                  </pic:spPr>
                </pic:pic>
              </a:graphicData>
            </a:graphic>
          </wp:inline>
        </w:drawing>
      </w:r>
    </w:p>
    <w:p>
      <w:pPr>
        <w:spacing w:after="120"/>
        <w:jc w:val="center"/>
      </w:pPr>
      <w:r>
        <w:rPr>
          <w:rFonts w:ascii="Montserrat" w:cs="Montserrat" w:eastAsia="Montserrat" w:hAnsi="Montserrat"/>
          <w:color w:val="999999"/>
          <w:sz w:val="18"/>
          <w:szCs w:val="18"/>
        </w:rPr>
        <w:t xml:space="preserve">Mark only · for favicons, app icons, small crops  ·  picktwo-mark.svg</w:t>
      </w:r>
    </w:p>
    <w:p>
      <w:r>
        <w:br w:type="page"/>
      </w:r>
    </w:p>
    <w:p>
      <w:pPr>
        <w:pStyle w:val="Heading3"/>
      </w:pPr>
      <w:r>
        <w:rPr>
          <w:rFonts w:ascii="Montserrat" w:cs="Montserrat" w:eastAsia="Montserrat" w:hAnsi="Montserrat"/>
          <w:color w:val="002C51"/>
        </w:rPr>
        <w:t xml:space="preserve">Monochrome</w:t>
      </w:r>
    </w:p>
    <w:p>
      <w:pPr>
        <w:spacing w:after="120"/>
      </w:pPr>
      <w:r>
        <w:rPr>
          <w:rFonts w:ascii="Montserrat" w:cs="Montserrat" w:eastAsia="Montserrat" w:hAnsi="Montserrat"/>
          <w:color w:val="434343"/>
          <w:sz w:val="22"/>
          <w:szCs w:val="22"/>
        </w:rPr>
        <w:t xml:space="preserve">Use the navy monochrome version on light backgrounds where full colour is unavailable — single-colour print, fax, embossing, or legal templates.</w:t>
      </w:r>
    </w:p>
    <w:p>
      <w:pPr>
        <w:jc w:val="left"/>
      </w:pPr>
      <w:r>
        <w:drawing>
          <wp:inline distT="0" distB="0" distL="0" distR="0">
            <wp:extent cx="3429000" cy="1047750"/>
            <wp:effectExtent t="0" r="0" b="0" l="0"/>
            <wp:docPr id="1" name="PickTwoLogo" descr="PickTwo logo" title="PickT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3429000" cy="1047750"/>
                    </a:xfrm>
                    <a:prstGeom prst="rect">
                      <a:avLst/>
                    </a:prstGeom>
                  </pic:spPr>
                </pic:pic>
              </a:graphicData>
            </a:graphic>
          </wp:inline>
        </w:drawing>
      </w:r>
    </w:p>
    <w:p>
      <w:r>
        <w:t xml:space="preserve"/>
      </w:r>
    </w:p>
    <w:p>
      <w:pPr>
        <w:pStyle w:val="Heading3"/>
      </w:pPr>
      <w:r>
        <w:rPr>
          <w:rFonts w:ascii="Montserrat" w:cs="Montserrat" w:eastAsia="Montserrat" w:hAnsi="Montserrat"/>
          <w:color w:val="002C51"/>
        </w:rPr>
        <w:t xml:space="preserve">Reverse</w:t>
      </w:r>
    </w:p>
    <w:p>
      <w:pPr>
        <w:spacing w:after="120"/>
      </w:pPr>
      <w:r>
        <w:rPr>
          <w:rFonts w:ascii="Montserrat" w:cs="Montserrat" w:eastAsia="Montserrat" w:hAnsi="Montserrat"/>
          <w:color w:val="434343"/>
          <w:sz w:val="22"/>
          <w:szCs w:val="22"/>
        </w:rPr>
        <w:t xml:space="preserve">Use the reverse version on the navy brand colour or on dark photography with sufficient contrast. Do not use the reverse logo on busy images — place a navy panel behind it first.</w:t>
      </w:r>
    </w:p>
    <w:p>
      <w:pPr>
        <w:jc w:val="left"/>
      </w:pPr>
      <w:r>
        <w:drawing>
          <wp:inline distT="0" distB="0" distL="0" distR="0">
            <wp:extent cx="3429000" cy="1047750"/>
            <wp:effectExtent t="0" r="0" b="0" l="0"/>
            <wp:docPr id="1" name="PickTwoLogo" descr="PickTwo logo" title="PickT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3429000" cy="1047750"/>
                    </a:xfrm>
                    <a:prstGeom prst="rect">
                      <a:avLst/>
                    </a:prstGeom>
                  </pic:spPr>
                </pic:pic>
              </a:graphicData>
            </a:graphic>
          </wp:inline>
        </w:drawing>
      </w:r>
    </w:p>
    <w:p>
      <w:r>
        <w:br w:type="page"/>
      </w:r>
    </w:p>
    <w:p>
      <w:pPr>
        <w:pStyle w:val="Heading2"/>
      </w:pPr>
      <w:r>
        <w:rPr>
          <w:rFonts w:ascii="Montserrat" w:cs="Montserrat" w:eastAsia="Montserrat" w:hAnsi="Montserrat"/>
          <w:color w:val="0066CC"/>
        </w:rPr>
        <w:t xml:space="preserve">Clear space and minimum size</w:t>
      </w:r>
    </w:p>
    <w:p>
      <w:pPr>
        <w:spacing w:after="120"/>
      </w:pPr>
      <w:r>
        <w:rPr>
          <w:rFonts w:ascii="Montserrat" w:cs="Montserrat" w:eastAsia="Montserrat" w:hAnsi="Montserrat"/>
          <w:color w:val="434343"/>
          <w:sz w:val="22"/>
          <w:szCs w:val="22"/>
        </w:rPr>
        <w:t xml:space="preserve">Always preserve a clear space around the logo equal to the height of the dark-navy overlap (the centre square). Nothing — text, photography, edge of a page — should encroach within this zone.</w:t>
      </w:r>
    </w:p>
    <w:p>
      <w:r>
        <w:t xml:space="preserve"/>
      </w:r>
    </w:p>
    <w:p>
      <w:pPr>
        <w:spacing w:after="120"/>
      </w:pPr>
      <w:r>
        <w:rPr>
          <w:rFonts w:ascii="Montserrat" w:cs="Montserrat" w:eastAsia="Montserrat" w:hAnsi="Montserrat"/>
          <w:b/>
          <w:bCs/>
          <w:color w:val="434343"/>
          <w:sz w:val="22"/>
          <w:szCs w:val="22"/>
        </w:rPr>
        <w:t xml:space="preserve">Minimum sizes:</w:t>
      </w:r>
    </w:p>
    <w:p>
      <w:pPr>
        <w:pStyle w:val="ListParagraph"/>
        <w:numPr>
          <w:ilvl w:val="0"/>
          <w:numId w:val="2"/>
        </w:numPr>
      </w:pPr>
      <w:r>
        <w:rPr>
          <w:rFonts w:ascii="Montserrat" w:cs="Montserrat" w:eastAsia="Montserrat" w:hAnsi="Montserrat"/>
          <w:color w:val="434343"/>
          <w:sz w:val="22"/>
          <w:szCs w:val="22"/>
        </w:rPr>
        <w:t xml:space="preserve">Wide lock-up: 32 mm wide in print, 140 px wide on screen.</w:t>
      </w:r>
    </w:p>
    <w:p>
      <w:pPr>
        <w:pStyle w:val="ListParagraph"/>
        <w:numPr>
          <w:ilvl w:val="0"/>
          <w:numId w:val="2"/>
        </w:numPr>
      </w:pPr>
      <w:r>
        <w:rPr>
          <w:rFonts w:ascii="Montserrat" w:cs="Montserrat" w:eastAsia="Montserrat" w:hAnsi="Montserrat"/>
          <w:color w:val="434343"/>
          <w:sz w:val="22"/>
          <w:szCs w:val="22"/>
        </w:rPr>
        <w:t xml:space="preserve">Square lock-up: 22 mm wide in print, 96 px wide on screen.</w:t>
      </w:r>
    </w:p>
    <w:p>
      <w:pPr>
        <w:pStyle w:val="ListParagraph"/>
        <w:numPr>
          <w:ilvl w:val="0"/>
          <w:numId w:val="2"/>
        </w:numPr>
      </w:pPr>
      <w:r>
        <w:rPr>
          <w:rFonts w:ascii="Montserrat" w:cs="Montserrat" w:eastAsia="Montserrat" w:hAnsi="Montserrat"/>
          <w:color w:val="434343"/>
          <w:sz w:val="22"/>
          <w:szCs w:val="22"/>
        </w:rPr>
        <w:t xml:space="preserve">Mark only: 8 mm wide in print, 32 px on screen — used for favicons and small crops.</w:t>
      </w:r>
    </w:p>
    <w:p>
      <w:r>
        <w:t xml:space="preserve"/>
      </w:r>
    </w:p>
    <w:p>
      <w:pPr>
        <w:pStyle w:val="Heading2"/>
      </w:pPr>
      <w:r>
        <w:rPr>
          <w:rFonts w:ascii="Montserrat" w:cs="Montserrat" w:eastAsia="Montserrat" w:hAnsi="Montserrat"/>
          <w:color w:val="0066CC"/>
        </w:rPr>
        <w:t xml:space="preserve">Do and don't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EEEEEE" w:sz="4"/>
              <w:left w:val="single" w:color="EEEEEE" w:sz="4"/>
              <w:bottom w:val="single" w:color="EEEEEE" w:sz="4"/>
              <w:right w:val="single" w:color="EEEEEE" w:sz="4"/>
            </w:tcBorders>
            <w:tcMar>
              <w:top w:type="dxa" w:w="160"/>
              <w:left w:type="dxa" w:w="200"/>
              <w:bottom w:type="dxa" w:w="160"/>
              <w:right w:type="dxa" w:w="200"/>
            </w:tcMar>
          </w:tcPr>
          <w:p>
            <w:pPr>
              <w:spacing w:after="120"/>
            </w:pPr>
            <w:r>
              <w:rPr>
                <w:rFonts w:ascii="Montserrat" w:cs="Montserrat" w:eastAsia="Montserrat" w:hAnsi="Montserrat"/>
                <w:b/>
                <w:bCs/>
                <w:color w:val="0066CC"/>
                <w:sz w:val="26"/>
                <w:szCs w:val="26"/>
              </w:rPr>
              <w:t xml:space="preserve">DO</w:t>
            </w:r>
          </w:p>
          <w:p>
            <w:pPr>
              <w:spacing w:after="100"/>
            </w:pPr>
            <w:r>
              <w:rPr>
                <w:rFonts w:ascii="Montserrat" w:cs="Montserrat" w:eastAsia="Montserrat" w:hAnsi="Montserrat"/>
                <w:color w:val="0066CC"/>
                <w:sz w:val="22"/>
                <w:szCs w:val="22"/>
              </w:rPr>
              <w:t xml:space="preserve">—  </w:t>
            </w:r>
            <w:r>
              <w:rPr>
                <w:rFonts w:ascii="Montserrat" w:cs="Montserrat" w:eastAsia="Montserrat" w:hAnsi="Montserrat"/>
                <w:color w:val="434343"/>
                <w:sz w:val="22"/>
                <w:szCs w:val="22"/>
              </w:rPr>
              <w:t xml:space="preserve">Keep the mark and wordmark together in their original proportions.</w:t>
            </w:r>
          </w:p>
          <w:p>
            <w:pPr>
              <w:spacing w:after="100"/>
            </w:pPr>
            <w:r>
              <w:rPr>
                <w:rFonts w:ascii="Montserrat" w:cs="Montserrat" w:eastAsia="Montserrat" w:hAnsi="Montserrat"/>
                <w:color w:val="0066CC"/>
                <w:sz w:val="22"/>
                <w:szCs w:val="22"/>
              </w:rPr>
              <w:t xml:space="preserve">—  </w:t>
            </w:r>
            <w:r>
              <w:rPr>
                <w:rFonts w:ascii="Montserrat" w:cs="Montserrat" w:eastAsia="Montserrat" w:hAnsi="Montserrat"/>
                <w:color w:val="434343"/>
                <w:sz w:val="22"/>
                <w:szCs w:val="22"/>
              </w:rPr>
              <w:t xml:space="preserve">Use the primary colour version on white or light backgrounds.</w:t>
            </w:r>
          </w:p>
          <w:p>
            <w:pPr>
              <w:spacing w:after="100"/>
            </w:pPr>
            <w:r>
              <w:rPr>
                <w:rFonts w:ascii="Montserrat" w:cs="Montserrat" w:eastAsia="Montserrat" w:hAnsi="Montserrat"/>
                <w:color w:val="0066CC"/>
                <w:sz w:val="22"/>
                <w:szCs w:val="22"/>
              </w:rPr>
              <w:t xml:space="preserve">—  </w:t>
            </w:r>
            <w:r>
              <w:rPr>
                <w:rFonts w:ascii="Montserrat" w:cs="Montserrat" w:eastAsia="Montserrat" w:hAnsi="Montserrat"/>
                <w:color w:val="434343"/>
                <w:sz w:val="22"/>
                <w:szCs w:val="22"/>
              </w:rPr>
              <w:t xml:space="preserve">Respect clear space — at least the height of the dark-navy overlap on every side.</w:t>
            </w:r>
          </w:p>
          <w:p>
            <w:pPr>
              <w:spacing w:after="100"/>
            </w:pPr>
            <w:r>
              <w:rPr>
                <w:rFonts w:ascii="Montserrat" w:cs="Montserrat" w:eastAsia="Montserrat" w:hAnsi="Montserrat"/>
                <w:color w:val="0066CC"/>
                <w:sz w:val="22"/>
                <w:szCs w:val="22"/>
              </w:rPr>
              <w:t xml:space="preserve">—  </w:t>
            </w:r>
            <w:r>
              <w:rPr>
                <w:rFonts w:ascii="Montserrat" w:cs="Montserrat" w:eastAsia="Montserrat" w:hAnsi="Montserrat"/>
                <w:color w:val="434343"/>
                <w:sz w:val="22"/>
                <w:szCs w:val="22"/>
              </w:rPr>
              <w:t xml:space="preserve">Use the reverse version on dark photography or the navy brand colour.</w:t>
            </w:r>
          </w:p>
          <w:p>
            <w:pPr>
              <w:spacing w:after="100"/>
            </w:pPr>
            <w:r>
              <w:rPr>
                <w:rFonts w:ascii="Montserrat" w:cs="Montserrat" w:eastAsia="Montserrat" w:hAnsi="Montserrat"/>
                <w:color w:val="0066CC"/>
                <w:sz w:val="22"/>
                <w:szCs w:val="22"/>
              </w:rPr>
              <w:t xml:space="preserve">—  </w:t>
            </w:r>
            <w:r>
              <w:rPr>
                <w:rFonts w:ascii="Montserrat" w:cs="Montserrat" w:eastAsia="Montserrat" w:hAnsi="Montserrat"/>
                <w:color w:val="434343"/>
                <w:sz w:val="22"/>
                <w:szCs w:val="22"/>
              </w:rPr>
              <w:t xml:space="preserve">Use the favicon mark for square crops under 80px.</w:t>
            </w:r>
          </w:p>
        </w:tc>
        <w:tc>
          <w:tcPr>
            <w:tcW w:type="dxa" w:w="4680"/>
            <w:tcBorders>
              <w:top w:val="single" w:color="EEEEEE" w:sz="4"/>
              <w:left w:val="single" w:color="EEEEEE" w:sz="4"/>
              <w:bottom w:val="single" w:color="EEEEEE" w:sz="4"/>
              <w:right w:val="single" w:color="EEEEEE" w:sz="4"/>
            </w:tcBorders>
            <w:tcMar>
              <w:top w:type="dxa" w:w="160"/>
              <w:left w:type="dxa" w:w="200"/>
              <w:bottom w:type="dxa" w:w="160"/>
              <w:right w:type="dxa" w:w="200"/>
            </w:tcMar>
          </w:tcPr>
          <w:p>
            <w:pPr>
              <w:spacing w:after="120"/>
            </w:pPr>
            <w:r>
              <w:rPr>
                <w:rFonts w:ascii="Montserrat" w:cs="Montserrat" w:eastAsia="Montserrat" w:hAnsi="Montserrat"/>
                <w:b/>
                <w:bCs/>
                <w:color w:val="A32D2D"/>
                <w:sz w:val="26"/>
                <w:szCs w:val="26"/>
              </w:rPr>
              <w:t xml:space="preserve">DON'T</w:t>
            </w:r>
          </w:p>
          <w:p>
            <w:pPr>
              <w:spacing w:after="100"/>
            </w:pPr>
            <w:r>
              <w:rPr>
                <w:rFonts w:ascii="Montserrat" w:cs="Montserrat" w:eastAsia="Montserrat" w:hAnsi="Montserrat"/>
                <w:color w:val="A32D2D"/>
                <w:sz w:val="22"/>
                <w:szCs w:val="22"/>
              </w:rPr>
              <w:t xml:space="preserve">—  </w:t>
            </w:r>
            <w:r>
              <w:rPr>
                <w:rFonts w:ascii="Montserrat" w:cs="Montserrat" w:eastAsia="Montserrat" w:hAnsi="Montserrat"/>
                <w:color w:val="434343"/>
                <w:sz w:val="22"/>
                <w:szCs w:val="22"/>
              </w:rPr>
              <w:t xml:space="preserve">Do not recolour the mark outside the approved palette.</w:t>
            </w:r>
          </w:p>
          <w:p>
            <w:pPr>
              <w:spacing w:after="100"/>
            </w:pPr>
            <w:r>
              <w:rPr>
                <w:rFonts w:ascii="Montserrat" w:cs="Montserrat" w:eastAsia="Montserrat" w:hAnsi="Montserrat"/>
                <w:color w:val="A32D2D"/>
                <w:sz w:val="22"/>
                <w:szCs w:val="22"/>
              </w:rPr>
              <w:t xml:space="preserve">—  </w:t>
            </w:r>
            <w:r>
              <w:rPr>
                <w:rFonts w:ascii="Montserrat" w:cs="Montserrat" w:eastAsia="Montserrat" w:hAnsi="Montserrat"/>
                <w:color w:val="434343"/>
                <w:sz w:val="22"/>
                <w:szCs w:val="22"/>
              </w:rPr>
              <w:t xml:space="preserve">Do not stretch, rotate, or skew the logo.</w:t>
            </w:r>
          </w:p>
          <w:p>
            <w:pPr>
              <w:spacing w:after="100"/>
            </w:pPr>
            <w:r>
              <w:rPr>
                <w:rFonts w:ascii="Montserrat" w:cs="Montserrat" w:eastAsia="Montserrat" w:hAnsi="Montserrat"/>
                <w:color w:val="A32D2D"/>
                <w:sz w:val="22"/>
                <w:szCs w:val="22"/>
              </w:rPr>
              <w:t xml:space="preserve">—  </w:t>
            </w:r>
            <w:r>
              <w:rPr>
                <w:rFonts w:ascii="Montserrat" w:cs="Montserrat" w:eastAsia="Montserrat" w:hAnsi="Montserrat"/>
                <w:color w:val="434343"/>
                <w:sz w:val="22"/>
                <w:szCs w:val="22"/>
              </w:rPr>
              <w:t xml:space="preserve">Do not place the colour logo on busy or low-contrast photography.</w:t>
            </w:r>
          </w:p>
          <w:p>
            <w:pPr>
              <w:spacing w:after="100"/>
            </w:pPr>
            <w:r>
              <w:rPr>
                <w:rFonts w:ascii="Montserrat" w:cs="Montserrat" w:eastAsia="Montserrat" w:hAnsi="Montserrat"/>
                <w:color w:val="A32D2D"/>
                <w:sz w:val="22"/>
                <w:szCs w:val="22"/>
              </w:rPr>
              <w:t xml:space="preserve">—  </w:t>
            </w:r>
            <w:r>
              <w:rPr>
                <w:rFonts w:ascii="Montserrat" w:cs="Montserrat" w:eastAsia="Montserrat" w:hAnsi="Montserrat"/>
                <w:color w:val="434343"/>
                <w:sz w:val="22"/>
                <w:szCs w:val="22"/>
              </w:rPr>
              <w:t xml:space="preserve">Do not separate the mark from the wordmark in primary layouts.</w:t>
            </w:r>
          </w:p>
          <w:p>
            <w:pPr>
              <w:spacing w:after="100"/>
            </w:pPr>
            <w:r>
              <w:rPr>
                <w:rFonts w:ascii="Montserrat" w:cs="Montserrat" w:eastAsia="Montserrat" w:hAnsi="Montserrat"/>
                <w:color w:val="A32D2D"/>
                <w:sz w:val="22"/>
                <w:szCs w:val="22"/>
              </w:rPr>
              <w:t xml:space="preserve">—  </w:t>
            </w:r>
            <w:r>
              <w:rPr>
                <w:rFonts w:ascii="Montserrat" w:cs="Montserrat" w:eastAsia="Montserrat" w:hAnsi="Montserrat"/>
                <w:color w:val="434343"/>
                <w:sz w:val="22"/>
                <w:szCs w:val="22"/>
              </w:rPr>
              <w:t xml:space="preserve">Do not add drop-shadows, outlines, gradients, or 3-D effects.</w:t>
            </w:r>
          </w:p>
        </w:tc>
      </w:tr>
    </w:tbl>
    <w:p>
      <w:r>
        <w:br w:type="page"/>
      </w:r>
    </w:p>
    <w:p>
      <w:pPr>
        <w:pStyle w:val="Heading1"/>
      </w:pPr>
      <w:r>
        <w:rPr>
          <w:rFonts w:ascii="Montserrat" w:cs="Montserrat" w:eastAsia="Montserrat" w:hAnsi="Montserrat"/>
          <w:color w:val="002C51"/>
        </w:rPr>
        <w:t xml:space="preserve">Colour</w:t>
      </w:r>
    </w:p>
    <w:p>
      <w:pPr>
        <w:pBdr>
          <w:bottom w:val="single" w:color="CCCCCC" w:sz="6" w:space="1"/>
        </w:pBdr>
      </w:pPr>
      <w:r>
        <w:t xml:space="preserve"/>
      </w:r>
    </w:p>
    <w:p>
      <w:pPr>
        <w:spacing w:after="120"/>
      </w:pPr>
      <w:r>
        <w:rPr>
          <w:rFonts w:ascii="Montserrat" w:cs="Montserrat" w:eastAsia="Montserrat" w:hAnsi="Montserrat"/>
          <w:color w:val="434343"/>
          <w:sz w:val="22"/>
          <w:szCs w:val="22"/>
        </w:rPr>
        <w:t xml:space="preserve">The PickTwo palette is built around a single dominant blue — primary blue #0066CC — supported by a navy anchor, two lighter blues for accent, and a neutral grey. Use primary blue and navy for 80% of any layout; reserve the lighter blues for highlights, charts and infographics.</w:t>
      </w:r>
    </w:p>
    <w:p>
      <w:r>
        <w:t xml:space="preserve"/>
      </w:r>
    </w:p>
    <w:p>
      <w:pPr>
        <w:pStyle w:val="Heading2"/>
      </w:pPr>
      <w:r>
        <w:rPr>
          <w:rFonts w:ascii="Montserrat" w:cs="Montserrat" w:eastAsia="Montserrat" w:hAnsi="Montserrat"/>
          <w:color w:val="0066CC"/>
        </w:rPr>
        <w:t xml:space="preserve">Primary colours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7860"/>
      </w:tblGrid>
      <w:tr>
        <w:trPr>
          <w:trHeight w:val="900" w:hRule="atLeast"/>
        </w:trPr>
        <w:tc>
          <w:tcPr>
            <w:tcW w:type="dxa" w:w="1500"/>
            <w:tcBorders>
              <w:top w:val="single" w:color="EEEEEE" w:sz="4"/>
              <w:left w:val="single" w:color="EEEEEE" w:sz="4"/>
              <w:bottom w:val="single" w:color="EEEEEE" w:sz="4"/>
              <w:right w:val="single" w:color="EEEEEE" w:sz="4"/>
            </w:tcBorders>
            <w:shd w:fill="0066CC" w:val="clear"/>
          </w:tcPr>
          <w:p>
            <w:r>
              <w:t xml:space="preserve"/>
            </w:r>
          </w:p>
        </w:tc>
        <w:tc>
          <w:tcPr>
            <w:tcW w:type="dxa" w:w="7860"/>
            <w:tcBorders>
              <w:top w:val="single" w:color="EEEEEE" w:sz="4"/>
              <w:left w:val="single" w:color="EEEEEE" w:sz="4"/>
              <w:bottom w:val="single" w:color="EEEEEE" w:sz="4"/>
              <w:right w:val="single" w:color="EEEEEE" w:sz="4"/>
            </w:tcBorders>
            <w:tcMar>
              <w:top w:type="dxa" w:w="100"/>
              <w:left w:type="dxa" w:w="200"/>
              <w:bottom w:type="dxa" w:w="100"/>
              <w:right w:type="dxa" w:w="120"/>
            </w:tcMar>
            <w:vAlign w:val="center"/>
          </w:tcPr>
          <w:p>
            <w:r>
              <w:rPr>
                <w:rFonts w:ascii="Montserrat" w:cs="Montserrat" w:eastAsia="Montserrat" w:hAnsi="Montserrat"/>
                <w:b/>
                <w:bCs/>
                <w:color w:val="002C51"/>
                <w:sz w:val="24"/>
                <w:szCs w:val="24"/>
              </w:rPr>
              <w:t xml:space="preserve">Primary blue</w:t>
            </w:r>
          </w:p>
          <w:p>
            <w:r>
              <w:rPr>
                <w:rFonts w:ascii="Montserrat" w:cs="Montserrat" w:eastAsia="Montserrat" w:hAnsi="Montserrat"/>
                <w:color w:val="434343"/>
                <w:sz w:val="20"/>
                <w:szCs w:val="20"/>
              </w:rPr>
              <w:t xml:space="preserve">HEX  #0066CC     RGB  R 0   G 102  B 204     CMYK  C 86  M 61  Y 0  K 0</w:t>
            </w:r>
          </w:p>
        </w:tc>
      </w:tr>
      <w:tr>
        <w:trPr>
          <w:trHeight w:val="900" w:hRule="atLeast"/>
        </w:trPr>
        <w:tc>
          <w:tcPr>
            <w:tcW w:type="dxa" w:w="1500"/>
            <w:tcBorders>
              <w:top w:val="single" w:color="EEEEEE" w:sz="4"/>
              <w:left w:val="single" w:color="EEEEEE" w:sz="4"/>
              <w:bottom w:val="single" w:color="EEEEEE" w:sz="4"/>
              <w:right w:val="single" w:color="EEEEEE" w:sz="4"/>
            </w:tcBorders>
            <w:shd w:fill="999999" w:val="clear"/>
          </w:tcPr>
          <w:p>
            <w:r>
              <w:t xml:space="preserve"/>
            </w:r>
          </w:p>
        </w:tc>
        <w:tc>
          <w:tcPr>
            <w:tcW w:type="dxa" w:w="7860"/>
            <w:tcBorders>
              <w:top w:val="single" w:color="EEEEEE" w:sz="4"/>
              <w:left w:val="single" w:color="EEEEEE" w:sz="4"/>
              <w:bottom w:val="single" w:color="EEEEEE" w:sz="4"/>
              <w:right w:val="single" w:color="EEEEEE" w:sz="4"/>
            </w:tcBorders>
            <w:tcMar>
              <w:top w:type="dxa" w:w="100"/>
              <w:left w:type="dxa" w:w="200"/>
              <w:bottom w:type="dxa" w:w="100"/>
              <w:right w:type="dxa" w:w="120"/>
            </w:tcMar>
            <w:vAlign w:val="center"/>
          </w:tcPr>
          <w:p>
            <w:r>
              <w:rPr>
                <w:rFonts w:ascii="Montserrat" w:cs="Montserrat" w:eastAsia="Montserrat" w:hAnsi="Montserrat"/>
                <w:b/>
                <w:bCs/>
                <w:color w:val="002C51"/>
                <w:sz w:val="24"/>
                <w:szCs w:val="24"/>
              </w:rPr>
              <w:t xml:space="preserve">Neutral grey</w:t>
            </w:r>
          </w:p>
          <w:p>
            <w:r>
              <w:rPr>
                <w:rFonts w:ascii="Montserrat" w:cs="Montserrat" w:eastAsia="Montserrat" w:hAnsi="Montserrat"/>
                <w:color w:val="434343"/>
                <w:sz w:val="20"/>
                <w:szCs w:val="20"/>
              </w:rPr>
              <w:t xml:space="preserve">HEX  #999999     RGB  R 153 G 153  B 153     CMYK  C 43  M 35  Y 35 K 1</w:t>
            </w:r>
          </w:p>
        </w:tc>
      </w:tr>
    </w:tbl>
    <w:p>
      <w:r>
        <w:t xml:space="preserve"/>
      </w:r>
    </w:p>
    <w:p>
      <w:pPr>
        <w:pStyle w:val="Heading2"/>
      </w:pPr>
      <w:r>
        <w:rPr>
          <w:rFonts w:ascii="Montserrat" w:cs="Montserrat" w:eastAsia="Montserrat" w:hAnsi="Montserrat"/>
          <w:color w:val="0066CC"/>
        </w:rPr>
        <w:t xml:space="preserve">Secondary colours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7860"/>
      </w:tblGrid>
      <w:tr>
        <w:trPr>
          <w:trHeight w:val="900" w:hRule="atLeast"/>
        </w:trPr>
        <w:tc>
          <w:tcPr>
            <w:tcW w:type="dxa" w:w="1500"/>
            <w:tcBorders>
              <w:top w:val="single" w:color="EEEEEE" w:sz="4"/>
              <w:left w:val="single" w:color="EEEEEE" w:sz="4"/>
              <w:bottom w:val="single" w:color="EEEEEE" w:sz="4"/>
              <w:right w:val="single" w:color="EEEEEE" w:sz="4"/>
            </w:tcBorders>
            <w:shd w:fill="002C51" w:val="clear"/>
          </w:tcPr>
          <w:p>
            <w:r>
              <w:t xml:space="preserve"/>
            </w:r>
          </w:p>
        </w:tc>
        <w:tc>
          <w:tcPr>
            <w:tcW w:type="dxa" w:w="7860"/>
            <w:tcBorders>
              <w:top w:val="single" w:color="EEEEEE" w:sz="4"/>
              <w:left w:val="single" w:color="EEEEEE" w:sz="4"/>
              <w:bottom w:val="single" w:color="EEEEEE" w:sz="4"/>
              <w:right w:val="single" w:color="EEEEEE" w:sz="4"/>
            </w:tcBorders>
            <w:tcMar>
              <w:top w:type="dxa" w:w="100"/>
              <w:left w:type="dxa" w:w="200"/>
              <w:bottom w:type="dxa" w:w="100"/>
              <w:right w:type="dxa" w:w="120"/>
            </w:tcMar>
            <w:vAlign w:val="center"/>
          </w:tcPr>
          <w:p>
            <w:r>
              <w:rPr>
                <w:rFonts w:ascii="Montserrat" w:cs="Montserrat" w:eastAsia="Montserrat" w:hAnsi="Montserrat"/>
                <w:b/>
                <w:bCs/>
                <w:color w:val="002C51"/>
                <w:sz w:val="24"/>
                <w:szCs w:val="24"/>
              </w:rPr>
              <w:t xml:space="preserve">Dark navy</w:t>
            </w:r>
          </w:p>
          <w:p>
            <w:r>
              <w:rPr>
                <w:rFonts w:ascii="Montserrat" w:cs="Montserrat" w:eastAsia="Montserrat" w:hAnsi="Montserrat"/>
                <w:color w:val="434343"/>
                <w:sz w:val="20"/>
                <w:szCs w:val="20"/>
              </w:rPr>
              <w:t xml:space="preserve">HEX  #002C51     RGB  R 0   G 44   B 81      CMYK  C 100 M 84 Y 40 K 38</w:t>
            </w:r>
          </w:p>
        </w:tc>
      </w:tr>
      <w:tr>
        <w:trPr>
          <w:trHeight w:val="900" w:hRule="atLeast"/>
        </w:trPr>
        <w:tc>
          <w:tcPr>
            <w:tcW w:type="dxa" w:w="1500"/>
            <w:tcBorders>
              <w:top w:val="single" w:color="EEEEEE" w:sz="4"/>
              <w:left w:val="single" w:color="EEEEEE" w:sz="4"/>
              <w:bottom w:val="single" w:color="EEEEEE" w:sz="4"/>
              <w:right w:val="single" w:color="EEEEEE" w:sz="4"/>
            </w:tcBorders>
            <w:shd w:fill="3FA9F5" w:val="clear"/>
          </w:tcPr>
          <w:p>
            <w:r>
              <w:t xml:space="preserve"/>
            </w:r>
          </w:p>
        </w:tc>
        <w:tc>
          <w:tcPr>
            <w:tcW w:type="dxa" w:w="7860"/>
            <w:tcBorders>
              <w:top w:val="single" w:color="EEEEEE" w:sz="4"/>
              <w:left w:val="single" w:color="EEEEEE" w:sz="4"/>
              <w:bottom w:val="single" w:color="EEEEEE" w:sz="4"/>
              <w:right w:val="single" w:color="EEEEEE" w:sz="4"/>
            </w:tcBorders>
            <w:tcMar>
              <w:top w:type="dxa" w:w="100"/>
              <w:left w:type="dxa" w:w="200"/>
              <w:bottom w:type="dxa" w:w="100"/>
              <w:right w:type="dxa" w:w="120"/>
            </w:tcMar>
            <w:vAlign w:val="center"/>
          </w:tcPr>
          <w:p>
            <w:r>
              <w:rPr>
                <w:rFonts w:ascii="Montserrat" w:cs="Montserrat" w:eastAsia="Montserrat" w:hAnsi="Montserrat"/>
                <w:b/>
                <w:bCs/>
                <w:color w:val="002C51"/>
                <w:sz w:val="24"/>
                <w:szCs w:val="24"/>
              </w:rPr>
              <w:t xml:space="preserve">Light blue</w:t>
            </w:r>
          </w:p>
          <w:p>
            <w:r>
              <w:rPr>
                <w:rFonts w:ascii="Montserrat" w:cs="Montserrat" w:eastAsia="Montserrat" w:hAnsi="Montserrat"/>
                <w:color w:val="434343"/>
                <w:sz w:val="20"/>
                <w:szCs w:val="20"/>
              </w:rPr>
              <w:t xml:space="preserve">HEX  #3FA9F5     RGB  R 63  G 169  B 245     CMYK  C 63  M 22  Y 0  K 0</w:t>
            </w:r>
          </w:p>
        </w:tc>
      </w:tr>
      <w:tr>
        <w:trPr>
          <w:trHeight w:val="900" w:hRule="atLeast"/>
        </w:trPr>
        <w:tc>
          <w:tcPr>
            <w:tcW w:type="dxa" w:w="1500"/>
            <w:tcBorders>
              <w:top w:val="single" w:color="EEEEEE" w:sz="4"/>
              <w:left w:val="single" w:color="EEEEEE" w:sz="4"/>
              <w:bottom w:val="single" w:color="EEEEEE" w:sz="4"/>
              <w:right w:val="single" w:color="EEEEEE" w:sz="4"/>
            </w:tcBorders>
            <w:shd w:fill="88DDFF" w:val="clear"/>
          </w:tcPr>
          <w:p>
            <w:r>
              <w:t xml:space="preserve"/>
            </w:r>
          </w:p>
        </w:tc>
        <w:tc>
          <w:tcPr>
            <w:tcW w:type="dxa" w:w="7860"/>
            <w:tcBorders>
              <w:top w:val="single" w:color="EEEEEE" w:sz="4"/>
              <w:left w:val="single" w:color="EEEEEE" w:sz="4"/>
              <w:bottom w:val="single" w:color="EEEEEE" w:sz="4"/>
              <w:right w:val="single" w:color="EEEEEE" w:sz="4"/>
            </w:tcBorders>
            <w:tcMar>
              <w:top w:type="dxa" w:w="100"/>
              <w:left w:type="dxa" w:w="200"/>
              <w:bottom w:type="dxa" w:w="100"/>
              <w:right w:type="dxa" w:w="120"/>
            </w:tcMar>
            <w:vAlign w:val="center"/>
          </w:tcPr>
          <w:p>
            <w:r>
              <w:rPr>
                <w:rFonts w:ascii="Montserrat" w:cs="Montserrat" w:eastAsia="Montserrat" w:hAnsi="Montserrat"/>
                <w:b/>
                <w:bCs/>
                <w:color w:val="002C51"/>
                <w:sz w:val="24"/>
                <w:szCs w:val="24"/>
              </w:rPr>
              <w:t xml:space="preserve">Sky blue</w:t>
            </w:r>
          </w:p>
          <w:p>
            <w:r>
              <w:rPr>
                <w:rFonts w:ascii="Montserrat" w:cs="Montserrat" w:eastAsia="Montserrat" w:hAnsi="Montserrat"/>
                <w:color w:val="434343"/>
                <w:sz w:val="20"/>
                <w:szCs w:val="20"/>
              </w:rPr>
              <w:t xml:space="preserve">HEX  #88DDFF     RGB  R 136 G 221  B 255     CMYK  C 40  M 0   Y 0  K 0</w:t>
            </w:r>
          </w:p>
        </w:tc>
      </w:tr>
    </w:tbl>
    <w:p>
      <w:r>
        <w:t xml:space="preserve"/>
      </w:r>
    </w:p>
    <w:p>
      <w:pPr>
        <w:pStyle w:val="Heading3"/>
      </w:pPr>
      <w:r>
        <w:rPr>
          <w:rFonts w:ascii="Montserrat" w:cs="Montserrat" w:eastAsia="Montserrat" w:hAnsi="Montserrat"/>
          <w:color w:val="002C51"/>
        </w:rPr>
        <w:t xml:space="preserve">Usage ratios</w:t>
      </w:r>
    </w:p>
    <w:p>
      <w:pPr>
        <w:pStyle w:val="ListParagraph"/>
        <w:numPr>
          <w:ilvl w:val="0"/>
          <w:numId w:val="2"/>
        </w:numPr>
      </w:pPr>
      <w:r>
        <w:rPr>
          <w:rFonts w:ascii="Montserrat" w:cs="Montserrat" w:eastAsia="Montserrat" w:hAnsi="Montserrat"/>
          <w:color w:val="434343"/>
          <w:sz w:val="22"/>
          <w:szCs w:val="22"/>
        </w:rPr>
        <w:t xml:space="preserve">Dominant: Primary blue and Dark navy — used for the wordmark, headers, key UI elements, and primary call-to-actions.</w:t>
      </w:r>
    </w:p>
    <w:p>
      <w:pPr>
        <w:pStyle w:val="ListParagraph"/>
        <w:numPr>
          <w:ilvl w:val="0"/>
          <w:numId w:val="2"/>
        </w:numPr>
      </w:pPr>
      <w:r>
        <w:rPr>
          <w:rFonts w:ascii="Montserrat" w:cs="Montserrat" w:eastAsia="Montserrat" w:hAnsi="Montserrat"/>
          <w:color w:val="434343"/>
          <w:sz w:val="22"/>
          <w:szCs w:val="22"/>
        </w:rPr>
        <w:t xml:space="preserve">Supporting: Neutral grey — body text, rules, secondary labels, captions.</w:t>
      </w:r>
    </w:p>
    <w:p>
      <w:pPr>
        <w:pStyle w:val="ListParagraph"/>
        <w:numPr>
          <w:ilvl w:val="0"/>
          <w:numId w:val="2"/>
        </w:numPr>
      </w:pPr>
      <w:r>
        <w:rPr>
          <w:rFonts w:ascii="Montserrat" w:cs="Montserrat" w:eastAsia="Montserrat" w:hAnsi="Montserrat"/>
          <w:color w:val="434343"/>
          <w:sz w:val="22"/>
          <w:szCs w:val="22"/>
        </w:rPr>
        <w:t xml:space="preserve">Accent: Light blue and Sky blue — chart highlights, callout panels, hover states, decorative gradients (no more than 15% of any layout).</w:t>
      </w:r>
    </w:p>
    <w:p>
      <w:r>
        <w:br w:type="page"/>
      </w:r>
    </w:p>
    <w:p>
      <w:pPr>
        <w:pStyle w:val="Heading1"/>
      </w:pPr>
      <w:r>
        <w:rPr>
          <w:rFonts w:ascii="Montserrat" w:cs="Montserrat" w:eastAsia="Montserrat" w:hAnsi="Montserrat"/>
          <w:color w:val="002C51"/>
        </w:rPr>
        <w:t xml:space="preserve">Typography</w:t>
      </w:r>
    </w:p>
    <w:p>
      <w:pPr>
        <w:pBdr>
          <w:bottom w:val="single" w:color="CCCCCC" w:sz="6" w:space="1"/>
        </w:pBdr>
      </w:pPr>
      <w:r>
        <w:t xml:space="preserve"/>
      </w:r>
    </w:p>
    <w:p>
      <w:pPr>
        <w:spacing w:after="120"/>
      </w:pPr>
      <w:r>
        <w:rPr>
          <w:rFonts w:ascii="Montserrat" w:cs="Montserrat" w:eastAsia="Montserrat" w:hAnsi="Montserrat"/>
          <w:color w:val="434343"/>
          <w:sz w:val="22"/>
          <w:szCs w:val="22"/>
        </w:rPr>
        <w:t xml:space="preserve">Montserrat is the PickTwo brand typeface. Use it for everything — headers, body, captions. Open Sans is used only for technical contact details in document headers and footers (phone numbers, URLs, email addresses) where its slightly wider character spacing helps legibility at small sizes.</w:t>
      </w:r>
    </w:p>
    <w:p>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6480"/>
      </w:tblGrid>
      <w:tr>
        <w:tc>
          <w:tcPr>
            <w:tcW w:type="dxa" w:w="2880"/>
            <w:tcBorders>
              <w:top w:val="single" w:color="EEEEEE" w:sz="4"/>
              <w:left w:val="single" w:color="EEEEEE" w:sz="4"/>
              <w:bottom w:val="single" w:color="EEEEEE" w:sz="4"/>
              <w:right w:val="single" w:color="EEEEEE" w:sz="4"/>
            </w:tcBorders>
            <w:tcMar>
              <w:top w:type="dxa" w:w="100"/>
              <w:left w:type="dxa" w:w="160"/>
              <w:bottom w:type="dxa" w:w="100"/>
              <w:right w:type="dxa" w:w="120"/>
            </w:tcMar>
            <w:vAlign w:val="center"/>
          </w:tcPr>
          <w:p>
            <w:r>
              <w:rPr>
                <w:rFonts w:ascii="Montserrat" w:cs="Montserrat" w:eastAsia="Montserrat" w:hAnsi="Montserrat"/>
                <w:b/>
                <w:bCs/>
                <w:color w:val="002C51"/>
                <w:sz w:val="22"/>
                <w:szCs w:val="22"/>
              </w:rPr>
              <w:t xml:space="preserve">Headers</w:t>
            </w:r>
          </w:p>
          <w:p>
            <w:r>
              <w:rPr>
                <w:rFonts w:ascii="Montserrat" w:cs="Montserrat" w:eastAsia="Montserrat" w:hAnsi="Montserrat"/>
                <w:color w:val="434343"/>
                <w:sz w:val="18"/>
                <w:szCs w:val="18"/>
              </w:rPr>
              <w:t xml:space="preserve">Montserrat · Bold (700) · 48 pt</w:t>
            </w:r>
          </w:p>
        </w:tc>
        <w:tc>
          <w:tcPr>
            <w:tcW w:type="dxa" w:w="6480"/>
            <w:tcBorders>
              <w:top w:val="single" w:color="EEEEEE" w:sz="4"/>
              <w:left w:val="single" w:color="EEEEEE" w:sz="4"/>
              <w:bottom w:val="single" w:color="EEEEEE" w:sz="4"/>
              <w:right w:val="single" w:color="EEEEEE" w:sz="4"/>
            </w:tcBorders>
            <w:tcMar>
              <w:top w:type="dxa" w:w="100"/>
              <w:left w:type="dxa" w:w="200"/>
              <w:bottom w:type="dxa" w:w="100"/>
              <w:right w:type="dxa" w:w="200"/>
            </w:tcMar>
            <w:vAlign w:val="center"/>
          </w:tcPr>
          <w:p>
            <w:r>
              <w:rPr>
                <w:rFonts w:ascii="Montserrat" w:cs="Montserrat" w:eastAsia="Montserrat" w:hAnsi="Montserrat"/>
                <w:color w:val="434343"/>
                <w:sz w:val="36"/>
                <w:szCs w:val="36"/>
              </w:rPr>
              <w:t xml:space="preserve">PickTwo headers</w:t>
            </w:r>
          </w:p>
          <w:p>
            <w:r>
              <w:rPr>
                <w:rFonts w:ascii="Montserrat" w:cs="Montserrat" w:eastAsia="Montserrat" w:hAnsi="Montserrat"/>
                <w:color w:val="888888"/>
                <w:sz w:val="16"/>
                <w:szCs w:val="16"/>
              </w:rPr>
              <w:t xml:space="preserve">ABCDEFGHIJKLMNOPQRSTUVWXYZ</w:t>
            </w:r>
          </w:p>
          <w:p>
            <w:r>
              <w:rPr>
                <w:rFonts w:ascii="Montserrat" w:cs="Montserrat" w:eastAsia="Montserrat" w:hAnsi="Montserrat"/>
                <w:color w:val="888888"/>
                <w:sz w:val="16"/>
                <w:szCs w:val="16"/>
              </w:rPr>
              <w:t xml:space="preserve">abcdefghijklmnopqrstuvwxyz 0123456789</w:t>
            </w:r>
          </w:p>
        </w:tc>
      </w:tr>
      <w:tr>
        <w:tc>
          <w:tcPr>
            <w:tcW w:type="dxa" w:w="2880"/>
            <w:tcBorders>
              <w:top w:val="single" w:color="EEEEEE" w:sz="4"/>
              <w:left w:val="single" w:color="EEEEEE" w:sz="4"/>
              <w:bottom w:val="single" w:color="EEEEEE" w:sz="4"/>
              <w:right w:val="single" w:color="EEEEEE" w:sz="4"/>
            </w:tcBorders>
            <w:tcMar>
              <w:top w:type="dxa" w:w="100"/>
              <w:left w:type="dxa" w:w="160"/>
              <w:bottom w:type="dxa" w:w="100"/>
              <w:right w:type="dxa" w:w="120"/>
            </w:tcMar>
            <w:vAlign w:val="center"/>
          </w:tcPr>
          <w:p>
            <w:r>
              <w:rPr>
                <w:rFonts w:ascii="Montserrat" w:cs="Montserrat" w:eastAsia="Montserrat" w:hAnsi="Montserrat"/>
                <w:b/>
                <w:bCs/>
                <w:color w:val="002C51"/>
                <w:sz w:val="22"/>
                <w:szCs w:val="22"/>
              </w:rPr>
              <w:t xml:space="preserve">Body</w:t>
            </w:r>
          </w:p>
          <w:p>
            <w:r>
              <w:rPr>
                <w:rFonts w:ascii="Montserrat" w:cs="Montserrat" w:eastAsia="Montserrat" w:hAnsi="Montserrat"/>
                <w:color w:val="434343"/>
                <w:sz w:val="18"/>
                <w:szCs w:val="18"/>
              </w:rPr>
              <w:t xml:space="preserve">Montserrat · Regular (400) · 14 pt</w:t>
            </w:r>
          </w:p>
        </w:tc>
        <w:tc>
          <w:tcPr>
            <w:tcW w:type="dxa" w:w="6480"/>
            <w:tcBorders>
              <w:top w:val="single" w:color="EEEEEE" w:sz="4"/>
              <w:left w:val="single" w:color="EEEEEE" w:sz="4"/>
              <w:bottom w:val="single" w:color="EEEEEE" w:sz="4"/>
              <w:right w:val="single" w:color="EEEEEE" w:sz="4"/>
            </w:tcBorders>
            <w:tcMar>
              <w:top w:type="dxa" w:w="100"/>
              <w:left w:type="dxa" w:w="200"/>
              <w:bottom w:type="dxa" w:w="100"/>
              <w:right w:type="dxa" w:w="200"/>
            </w:tcMar>
            <w:vAlign w:val="center"/>
          </w:tcPr>
          <w:p>
            <w:r>
              <w:rPr>
                <w:rFonts w:ascii="Montserrat" w:cs="Montserrat" w:eastAsia="Montserrat" w:hAnsi="Montserrat"/>
                <w:color w:val="434343"/>
                <w:sz w:val="36"/>
                <w:szCs w:val="36"/>
              </w:rPr>
              <w:t xml:space="preserve">Body copy at fourteen px</w:t>
            </w:r>
          </w:p>
          <w:p>
            <w:r>
              <w:rPr>
                <w:rFonts w:ascii="Montserrat" w:cs="Montserrat" w:eastAsia="Montserrat" w:hAnsi="Montserrat"/>
                <w:color w:val="888888"/>
                <w:sz w:val="16"/>
                <w:szCs w:val="16"/>
              </w:rPr>
              <w:t xml:space="preserve">ABCDEFGHIJKLMNOPQRSTUVWXYZ</w:t>
            </w:r>
          </w:p>
          <w:p>
            <w:r>
              <w:rPr>
                <w:rFonts w:ascii="Montserrat" w:cs="Montserrat" w:eastAsia="Montserrat" w:hAnsi="Montserrat"/>
                <w:color w:val="888888"/>
                <w:sz w:val="16"/>
                <w:szCs w:val="16"/>
              </w:rPr>
              <w:t xml:space="preserve">abcdefghijklmnopqrstuvwxyz 0123456789</w:t>
            </w:r>
          </w:p>
        </w:tc>
      </w:tr>
      <w:tr>
        <w:tc>
          <w:tcPr>
            <w:tcW w:type="dxa" w:w="2880"/>
            <w:tcBorders>
              <w:top w:val="single" w:color="EEEEEE" w:sz="4"/>
              <w:left w:val="single" w:color="EEEEEE" w:sz="4"/>
              <w:bottom w:val="single" w:color="EEEEEE" w:sz="4"/>
              <w:right w:val="single" w:color="EEEEEE" w:sz="4"/>
            </w:tcBorders>
            <w:tcMar>
              <w:top w:type="dxa" w:w="100"/>
              <w:left w:type="dxa" w:w="160"/>
              <w:bottom w:type="dxa" w:w="100"/>
              <w:right w:type="dxa" w:w="120"/>
            </w:tcMar>
            <w:vAlign w:val="center"/>
          </w:tcPr>
          <w:p>
            <w:r>
              <w:rPr>
                <w:rFonts w:ascii="Montserrat" w:cs="Montserrat" w:eastAsia="Montserrat" w:hAnsi="Montserrat"/>
                <w:b/>
                <w:bCs/>
                <w:color w:val="002C51"/>
                <w:sz w:val="22"/>
                <w:szCs w:val="22"/>
              </w:rPr>
              <w:t xml:space="preserve">Footer / contact</w:t>
            </w:r>
          </w:p>
          <w:p>
            <w:r>
              <w:rPr>
                <w:rFonts w:ascii="Montserrat" w:cs="Montserrat" w:eastAsia="Montserrat" w:hAnsi="Montserrat"/>
                <w:color w:val="434343"/>
                <w:sz w:val="18"/>
                <w:szCs w:val="18"/>
              </w:rPr>
              <w:t xml:space="preserve">Open Sans · Regular (400) · 9 pt</w:t>
            </w:r>
          </w:p>
        </w:tc>
        <w:tc>
          <w:tcPr>
            <w:tcW w:type="dxa" w:w="6480"/>
            <w:tcBorders>
              <w:top w:val="single" w:color="EEEEEE" w:sz="4"/>
              <w:left w:val="single" w:color="EEEEEE" w:sz="4"/>
              <w:bottom w:val="single" w:color="EEEEEE" w:sz="4"/>
              <w:right w:val="single" w:color="EEEEEE" w:sz="4"/>
            </w:tcBorders>
            <w:tcMar>
              <w:top w:type="dxa" w:w="100"/>
              <w:left w:type="dxa" w:w="200"/>
              <w:bottom w:type="dxa" w:w="100"/>
              <w:right w:type="dxa" w:w="200"/>
            </w:tcMar>
            <w:vAlign w:val="center"/>
          </w:tcPr>
          <w:p>
            <w:r>
              <w:rPr>
                <w:rFonts w:ascii="Open Sans" w:cs="Open Sans" w:eastAsia="Open Sans" w:hAnsi="Open Sans"/>
                <w:color w:val="434343"/>
                <w:sz w:val="36"/>
                <w:szCs w:val="36"/>
              </w:rPr>
              <w:t xml:space="preserve">+27 71 687 4385</w:t>
            </w:r>
          </w:p>
          <w:p>
            <w:r>
              <w:rPr>
                <w:rFonts w:ascii="Open Sans" w:cs="Open Sans" w:eastAsia="Open Sans" w:hAnsi="Open Sans"/>
                <w:color w:val="888888"/>
                <w:sz w:val="16"/>
                <w:szCs w:val="16"/>
              </w:rPr>
              <w:t xml:space="preserve">ABCDEFGHIJKLMNOPQRSTUVWXYZ</w:t>
            </w:r>
          </w:p>
          <w:p>
            <w:r>
              <w:rPr>
                <w:rFonts w:ascii="Open Sans" w:cs="Open Sans" w:eastAsia="Open Sans" w:hAnsi="Open Sans"/>
                <w:color w:val="888888"/>
                <w:sz w:val="16"/>
                <w:szCs w:val="16"/>
              </w:rPr>
              <w:t xml:space="preserve">abcdefghijklmnopqrstuvwxyz 0123456789</w:t>
            </w:r>
          </w:p>
        </w:tc>
      </w:tr>
    </w:tbl>
    <w:p>
      <w:r>
        <w:t xml:space="preserve"/>
      </w:r>
    </w:p>
    <w:p>
      <w:pPr>
        <w:pStyle w:val="Heading3"/>
      </w:pPr>
      <w:r>
        <w:rPr>
          <w:rFonts w:ascii="Montserrat" w:cs="Montserrat" w:eastAsia="Montserrat" w:hAnsi="Montserrat"/>
          <w:color w:val="002C51"/>
        </w:rPr>
        <w:t xml:space="preserve">Type rules</w:t>
      </w:r>
    </w:p>
    <w:p>
      <w:pPr>
        <w:pStyle w:val="ListParagraph"/>
        <w:numPr>
          <w:ilvl w:val="0"/>
          <w:numId w:val="2"/>
        </w:numPr>
      </w:pPr>
      <w:r>
        <w:rPr>
          <w:rFonts w:ascii="Montserrat" w:cs="Montserrat" w:eastAsia="Montserrat" w:hAnsi="Montserrat"/>
          <w:color w:val="434343"/>
          <w:sz w:val="22"/>
          <w:szCs w:val="22"/>
        </w:rPr>
        <w:t xml:space="preserve">Set body copy at 14 pt with 1.5 line-height for documents; 16 px / 1.6 line-height for web.</w:t>
      </w:r>
    </w:p>
    <w:p>
      <w:pPr>
        <w:pStyle w:val="ListParagraph"/>
        <w:numPr>
          <w:ilvl w:val="0"/>
          <w:numId w:val="2"/>
        </w:numPr>
      </w:pPr>
      <w:r>
        <w:rPr>
          <w:rFonts w:ascii="Montserrat" w:cs="Montserrat" w:eastAsia="Montserrat" w:hAnsi="Montserrat"/>
          <w:color w:val="434343"/>
          <w:sz w:val="22"/>
          <w:szCs w:val="22"/>
        </w:rPr>
        <w:t xml:space="preserve">Headlines are always sentence case or Title Case — never all-caps in long form copy (the wordmark is the only place caps appear).</w:t>
      </w:r>
    </w:p>
    <w:p>
      <w:pPr>
        <w:pStyle w:val="ListParagraph"/>
        <w:numPr>
          <w:ilvl w:val="0"/>
          <w:numId w:val="2"/>
        </w:numPr>
      </w:pPr>
      <w:r>
        <w:rPr>
          <w:rFonts w:ascii="Montserrat" w:cs="Montserrat" w:eastAsia="Montserrat" w:hAnsi="Montserrat"/>
          <w:color w:val="434343"/>
          <w:sz w:val="22"/>
          <w:szCs w:val="22"/>
        </w:rPr>
        <w:t xml:space="preserve">Avoid more than two weights per page — Montserrat Bold for headings and Montserrat Regular for body covers most needs.</w:t>
      </w:r>
    </w:p>
    <w:p>
      <w:pPr>
        <w:pStyle w:val="ListParagraph"/>
        <w:numPr>
          <w:ilvl w:val="0"/>
          <w:numId w:val="2"/>
        </w:numPr>
      </w:pPr>
      <w:r>
        <w:rPr>
          <w:rFonts w:ascii="Montserrat" w:cs="Montserrat" w:eastAsia="Montserrat" w:hAnsi="Montserrat"/>
          <w:color w:val="434343"/>
          <w:sz w:val="22"/>
          <w:szCs w:val="22"/>
        </w:rPr>
        <w:t xml:space="preserve">Use grey #999999 for body copy on white; switch to white on navy backgrounds.</w:t>
      </w:r>
    </w:p>
    <w:p>
      <w:r>
        <w:br w:type="page"/>
      </w:r>
    </w:p>
    <w:p>
      <w:pPr>
        <w:pStyle w:val="Heading1"/>
      </w:pPr>
      <w:r>
        <w:rPr>
          <w:rFonts w:ascii="Montserrat" w:cs="Montserrat" w:eastAsia="Montserrat" w:hAnsi="Montserrat"/>
          <w:color w:val="002C51"/>
        </w:rPr>
        <w:t xml:space="preserve">Asset library</w:t>
      </w:r>
    </w:p>
    <w:p>
      <w:pPr>
        <w:pBdr>
          <w:bottom w:val="single" w:color="CCCCCC" w:sz="6" w:space="1"/>
        </w:pBdr>
      </w:pPr>
      <w:r>
        <w:t xml:space="preserve"/>
      </w:r>
    </w:p>
    <w:p>
      <w:pPr>
        <w:spacing w:after="120"/>
      </w:pPr>
      <w:r>
        <w:rPr>
          <w:rFonts w:ascii="Montserrat" w:cs="Montserrat" w:eastAsia="Montserrat" w:hAnsi="Montserrat"/>
          <w:color w:val="434343"/>
          <w:sz w:val="22"/>
          <w:szCs w:val="22"/>
        </w:rPr>
        <w:t xml:space="preserve">All assets live in /brand-assets. SVG versions are the masters — use them for web, embed in documents that support vector, and resize without quality loss. PNG copies at 2× are in /brand-assets/png for places SVG doesn't render reliably (some email clients, older Word versions).</w:t>
      </w:r>
    </w:p>
    <w:p>
      <w:r>
        <w:t xml:space="preserve"/>
      </w:r>
    </w:p>
    <w:p>
      <w:pPr>
        <w:pStyle w:val="Heading2"/>
      </w:pPr>
      <w:r>
        <w:rPr>
          <w:rFonts w:ascii="Montserrat" w:cs="Montserrat" w:eastAsia="Montserrat" w:hAnsi="Montserrat"/>
          <w:color w:val="0066CC"/>
        </w:rPr>
        <w:t xml:space="preserve">Logo files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W w:type="dxa" w:w="3500"/>
            <w:tcBorders>
              <w:top w:val="single" w:color="EEEEEE" w:sz="4"/>
              <w:left w:val="single" w:color="EEEEEE" w:sz="4"/>
              <w:bottom w:val="single" w:color="EEEEEE" w:sz="4"/>
              <w:right w:val="single" w:color="EEEEEE" w:sz="4"/>
            </w:tcBorders>
            <w:tcMar>
              <w:top w:type="dxa" w:w="80"/>
              <w:left w:type="dxa" w:w="160"/>
              <w:bottom w:type="dxa" w:w="80"/>
              <w:right w:type="dxa" w:w="120"/>
            </w:tcMar>
          </w:tcPr>
          <w:p>
            <w:r>
              <w:rPr>
                <w:rFonts w:ascii="Consolas" w:cs="Consolas" w:eastAsia="Consolas" w:hAnsi="Consolas"/>
                <w:color w:val="0066CC"/>
                <w:sz w:val="20"/>
                <w:szCs w:val="20"/>
              </w:rPr>
              <w:t xml:space="preserve">picktwo-wide.svg</w:t>
            </w:r>
          </w:p>
        </w:tc>
        <w:tc>
          <w:tcPr>
            <w:tcW w:type="dxa" w:w="5860"/>
            <w:tcBorders>
              <w:top w:val="single" w:color="EEEEEE" w:sz="4"/>
              <w:left w:val="single" w:color="EEEEEE" w:sz="4"/>
              <w:bottom w:val="single" w:color="EEEEEE" w:sz="4"/>
              <w:right w:val="single" w:color="EEEEEE" w:sz="4"/>
            </w:tcBorders>
            <w:tcMar>
              <w:top w:type="dxa" w:w="80"/>
              <w:left w:type="dxa" w:w="160"/>
              <w:bottom w:type="dxa" w:w="80"/>
              <w:right w:type="dxa" w:w="200"/>
            </w:tcMar>
          </w:tcPr>
          <w:p>
            <w:r>
              <w:rPr>
                <w:rFonts w:ascii="Montserrat" w:cs="Montserrat" w:eastAsia="Montserrat" w:hAnsi="Montserrat"/>
                <w:color w:val="434343"/>
                <w:sz w:val="20"/>
                <w:szCs w:val="20"/>
              </w:rPr>
              <w:t xml:space="preserve">Primary horizontal lock-up — no tagline. Use everywhere with horizontal room.</w:t>
            </w:r>
          </w:p>
        </w:tc>
      </w:tr>
      <w:tr>
        <w:tc>
          <w:tcPr>
            <w:tcW w:type="dxa" w:w="3500"/>
            <w:tcBorders>
              <w:top w:val="single" w:color="EEEEEE" w:sz="4"/>
              <w:left w:val="single" w:color="EEEEEE" w:sz="4"/>
              <w:bottom w:val="single" w:color="EEEEEE" w:sz="4"/>
              <w:right w:val="single" w:color="EEEEEE" w:sz="4"/>
            </w:tcBorders>
            <w:tcMar>
              <w:top w:type="dxa" w:w="80"/>
              <w:left w:type="dxa" w:w="160"/>
              <w:bottom w:type="dxa" w:w="80"/>
              <w:right w:type="dxa" w:w="120"/>
            </w:tcMar>
          </w:tcPr>
          <w:p>
            <w:r>
              <w:rPr>
                <w:rFonts w:ascii="Consolas" w:cs="Consolas" w:eastAsia="Consolas" w:hAnsi="Consolas"/>
                <w:color w:val="0066CC"/>
                <w:sz w:val="20"/>
                <w:szCs w:val="20"/>
              </w:rPr>
              <w:t xml:space="preserve">picktwo-wide-tagline.svg</w:t>
            </w:r>
          </w:p>
        </w:tc>
        <w:tc>
          <w:tcPr>
            <w:tcW w:type="dxa" w:w="5860"/>
            <w:tcBorders>
              <w:top w:val="single" w:color="EEEEEE" w:sz="4"/>
              <w:left w:val="single" w:color="EEEEEE" w:sz="4"/>
              <w:bottom w:val="single" w:color="EEEEEE" w:sz="4"/>
              <w:right w:val="single" w:color="EEEEEE" w:sz="4"/>
            </w:tcBorders>
            <w:tcMar>
              <w:top w:type="dxa" w:w="80"/>
              <w:left w:type="dxa" w:w="160"/>
              <w:bottom w:type="dxa" w:w="80"/>
              <w:right w:type="dxa" w:w="200"/>
            </w:tcMar>
          </w:tcPr>
          <w:p>
            <w:r>
              <w:rPr>
                <w:rFonts w:ascii="Montserrat" w:cs="Montserrat" w:eastAsia="Montserrat" w:hAnsi="Montserrat"/>
                <w:color w:val="434343"/>
                <w:sz w:val="20"/>
                <w:szCs w:val="20"/>
              </w:rPr>
              <w:t xml:space="preserve">Primary horizontal lock-up with 'Two worth choosing'. Cover pages, marketing.</w:t>
            </w:r>
          </w:p>
        </w:tc>
      </w:tr>
      <w:tr>
        <w:tc>
          <w:tcPr>
            <w:tcW w:type="dxa" w:w="3500"/>
            <w:tcBorders>
              <w:top w:val="single" w:color="EEEEEE" w:sz="4"/>
              <w:left w:val="single" w:color="EEEEEE" w:sz="4"/>
              <w:bottom w:val="single" w:color="EEEEEE" w:sz="4"/>
              <w:right w:val="single" w:color="EEEEEE" w:sz="4"/>
            </w:tcBorders>
            <w:tcMar>
              <w:top w:type="dxa" w:w="80"/>
              <w:left w:type="dxa" w:w="160"/>
              <w:bottom w:type="dxa" w:w="80"/>
              <w:right w:type="dxa" w:w="120"/>
            </w:tcMar>
          </w:tcPr>
          <w:p>
            <w:r>
              <w:rPr>
                <w:rFonts w:ascii="Consolas" w:cs="Consolas" w:eastAsia="Consolas" w:hAnsi="Consolas"/>
                <w:color w:val="0066CC"/>
                <w:sz w:val="20"/>
                <w:szCs w:val="20"/>
              </w:rPr>
              <w:t xml:space="preserve">picktwo-square.svg</w:t>
            </w:r>
          </w:p>
        </w:tc>
        <w:tc>
          <w:tcPr>
            <w:tcW w:type="dxa" w:w="5860"/>
            <w:tcBorders>
              <w:top w:val="single" w:color="EEEEEE" w:sz="4"/>
              <w:left w:val="single" w:color="EEEEEE" w:sz="4"/>
              <w:bottom w:val="single" w:color="EEEEEE" w:sz="4"/>
              <w:right w:val="single" w:color="EEEEEE" w:sz="4"/>
            </w:tcBorders>
            <w:tcMar>
              <w:top w:type="dxa" w:w="80"/>
              <w:left w:type="dxa" w:w="160"/>
              <w:bottom w:type="dxa" w:w="80"/>
              <w:right w:type="dxa" w:w="200"/>
            </w:tcMar>
          </w:tcPr>
          <w:p>
            <w:r>
              <w:rPr>
                <w:rFonts w:ascii="Montserrat" w:cs="Montserrat" w:eastAsia="Montserrat" w:hAnsi="Montserrat"/>
                <w:color w:val="434343"/>
                <w:sz w:val="20"/>
                <w:szCs w:val="20"/>
              </w:rPr>
              <w:t xml:space="preserve">Square lock-up. Social profiles, document corners, supplier portal thumbnails.</w:t>
            </w:r>
          </w:p>
        </w:tc>
      </w:tr>
      <w:tr>
        <w:tc>
          <w:tcPr>
            <w:tcW w:type="dxa" w:w="3500"/>
            <w:tcBorders>
              <w:top w:val="single" w:color="EEEEEE" w:sz="4"/>
              <w:left w:val="single" w:color="EEEEEE" w:sz="4"/>
              <w:bottom w:val="single" w:color="EEEEEE" w:sz="4"/>
              <w:right w:val="single" w:color="EEEEEE" w:sz="4"/>
            </w:tcBorders>
            <w:tcMar>
              <w:top w:type="dxa" w:w="80"/>
              <w:left w:type="dxa" w:w="160"/>
              <w:bottom w:type="dxa" w:w="80"/>
              <w:right w:type="dxa" w:w="120"/>
            </w:tcMar>
          </w:tcPr>
          <w:p>
            <w:r>
              <w:rPr>
                <w:rFonts w:ascii="Consolas" w:cs="Consolas" w:eastAsia="Consolas" w:hAnsi="Consolas"/>
                <w:color w:val="0066CC"/>
                <w:sz w:val="20"/>
                <w:szCs w:val="20"/>
              </w:rPr>
              <w:t xml:space="preserve">picktwo-square-tagline.svg</w:t>
            </w:r>
          </w:p>
        </w:tc>
        <w:tc>
          <w:tcPr>
            <w:tcW w:type="dxa" w:w="5860"/>
            <w:tcBorders>
              <w:top w:val="single" w:color="EEEEEE" w:sz="4"/>
              <w:left w:val="single" w:color="EEEEEE" w:sz="4"/>
              <w:bottom w:val="single" w:color="EEEEEE" w:sz="4"/>
              <w:right w:val="single" w:color="EEEEEE" w:sz="4"/>
            </w:tcBorders>
            <w:tcMar>
              <w:top w:type="dxa" w:w="80"/>
              <w:left w:type="dxa" w:w="160"/>
              <w:bottom w:type="dxa" w:w="80"/>
              <w:right w:type="dxa" w:w="200"/>
            </w:tcMar>
          </w:tcPr>
          <w:p>
            <w:r>
              <w:rPr>
                <w:rFonts w:ascii="Montserrat" w:cs="Montserrat" w:eastAsia="Montserrat" w:hAnsi="Montserrat"/>
                <w:color w:val="434343"/>
                <w:sz w:val="20"/>
                <w:szCs w:val="20"/>
              </w:rPr>
              <w:t xml:space="preserve">Square lock-up with tagline. Title slides, brochure backs.</w:t>
            </w:r>
          </w:p>
        </w:tc>
      </w:tr>
      <w:tr>
        <w:tc>
          <w:tcPr>
            <w:tcW w:type="dxa" w:w="3500"/>
            <w:tcBorders>
              <w:top w:val="single" w:color="EEEEEE" w:sz="4"/>
              <w:left w:val="single" w:color="EEEEEE" w:sz="4"/>
              <w:bottom w:val="single" w:color="EEEEEE" w:sz="4"/>
              <w:right w:val="single" w:color="EEEEEE" w:sz="4"/>
            </w:tcBorders>
            <w:tcMar>
              <w:top w:type="dxa" w:w="80"/>
              <w:left w:type="dxa" w:w="160"/>
              <w:bottom w:type="dxa" w:w="80"/>
              <w:right w:type="dxa" w:w="120"/>
            </w:tcMar>
          </w:tcPr>
          <w:p>
            <w:r>
              <w:rPr>
                <w:rFonts w:ascii="Consolas" w:cs="Consolas" w:eastAsia="Consolas" w:hAnsi="Consolas"/>
                <w:color w:val="0066CC"/>
                <w:sz w:val="20"/>
                <w:szCs w:val="20"/>
              </w:rPr>
              <w:t xml:space="preserve">picktwo-mark.svg</w:t>
            </w:r>
          </w:p>
        </w:tc>
        <w:tc>
          <w:tcPr>
            <w:tcW w:type="dxa" w:w="5860"/>
            <w:tcBorders>
              <w:top w:val="single" w:color="EEEEEE" w:sz="4"/>
              <w:left w:val="single" w:color="EEEEEE" w:sz="4"/>
              <w:bottom w:val="single" w:color="EEEEEE" w:sz="4"/>
              <w:right w:val="single" w:color="EEEEEE" w:sz="4"/>
            </w:tcBorders>
            <w:tcMar>
              <w:top w:type="dxa" w:w="80"/>
              <w:left w:type="dxa" w:w="160"/>
              <w:bottom w:type="dxa" w:w="80"/>
              <w:right w:type="dxa" w:w="200"/>
            </w:tcMar>
          </w:tcPr>
          <w:p>
            <w:r>
              <w:rPr>
                <w:rFonts w:ascii="Montserrat" w:cs="Montserrat" w:eastAsia="Montserrat" w:hAnsi="Montserrat"/>
                <w:color w:val="434343"/>
                <w:sz w:val="20"/>
                <w:szCs w:val="20"/>
              </w:rPr>
              <w:t xml:space="preserve">Icon-only mark. Favicons, app icons, ultra-small crops under 32 px.</w:t>
            </w:r>
          </w:p>
        </w:tc>
      </w:tr>
      <w:tr>
        <w:tc>
          <w:tcPr>
            <w:tcW w:type="dxa" w:w="3500"/>
            <w:tcBorders>
              <w:top w:val="single" w:color="EEEEEE" w:sz="4"/>
              <w:left w:val="single" w:color="EEEEEE" w:sz="4"/>
              <w:bottom w:val="single" w:color="EEEEEE" w:sz="4"/>
              <w:right w:val="single" w:color="EEEEEE" w:sz="4"/>
            </w:tcBorders>
            <w:tcMar>
              <w:top w:type="dxa" w:w="80"/>
              <w:left w:type="dxa" w:w="160"/>
              <w:bottom w:type="dxa" w:w="80"/>
              <w:right w:type="dxa" w:w="120"/>
            </w:tcMar>
          </w:tcPr>
          <w:p>
            <w:r>
              <w:rPr>
                <w:rFonts w:ascii="Consolas" w:cs="Consolas" w:eastAsia="Consolas" w:hAnsi="Consolas"/>
                <w:color w:val="0066CC"/>
                <w:sz w:val="20"/>
                <w:szCs w:val="20"/>
              </w:rPr>
              <w:t xml:space="preserve">picktwo-mono.svg</w:t>
            </w:r>
          </w:p>
        </w:tc>
        <w:tc>
          <w:tcPr>
            <w:tcW w:type="dxa" w:w="5860"/>
            <w:tcBorders>
              <w:top w:val="single" w:color="EEEEEE" w:sz="4"/>
              <w:left w:val="single" w:color="EEEEEE" w:sz="4"/>
              <w:bottom w:val="single" w:color="EEEEEE" w:sz="4"/>
              <w:right w:val="single" w:color="EEEEEE" w:sz="4"/>
            </w:tcBorders>
            <w:tcMar>
              <w:top w:type="dxa" w:w="80"/>
              <w:left w:type="dxa" w:w="160"/>
              <w:bottom w:type="dxa" w:w="80"/>
              <w:right w:type="dxa" w:w="200"/>
            </w:tcMar>
          </w:tcPr>
          <w:p>
            <w:r>
              <w:rPr>
                <w:rFonts w:ascii="Montserrat" w:cs="Montserrat" w:eastAsia="Montserrat" w:hAnsi="Montserrat"/>
                <w:color w:val="434343"/>
                <w:sz w:val="20"/>
                <w:szCs w:val="20"/>
              </w:rPr>
              <w:t xml:space="preserve">Single-ink navy version. One-colour print, fax, embossing, legal.</w:t>
            </w:r>
          </w:p>
        </w:tc>
      </w:tr>
      <w:tr>
        <w:tc>
          <w:tcPr>
            <w:tcW w:type="dxa" w:w="3500"/>
            <w:tcBorders>
              <w:top w:val="single" w:color="EEEEEE" w:sz="4"/>
              <w:left w:val="single" w:color="EEEEEE" w:sz="4"/>
              <w:bottom w:val="single" w:color="EEEEEE" w:sz="4"/>
              <w:right w:val="single" w:color="EEEEEE" w:sz="4"/>
            </w:tcBorders>
            <w:tcMar>
              <w:top w:type="dxa" w:w="80"/>
              <w:left w:type="dxa" w:w="160"/>
              <w:bottom w:type="dxa" w:w="80"/>
              <w:right w:type="dxa" w:w="120"/>
            </w:tcMar>
          </w:tcPr>
          <w:p>
            <w:r>
              <w:rPr>
                <w:rFonts w:ascii="Consolas" w:cs="Consolas" w:eastAsia="Consolas" w:hAnsi="Consolas"/>
                <w:color w:val="0066CC"/>
                <w:sz w:val="20"/>
                <w:szCs w:val="20"/>
              </w:rPr>
              <w:t xml:space="preserve">picktwo-reverse.svg</w:t>
            </w:r>
          </w:p>
        </w:tc>
        <w:tc>
          <w:tcPr>
            <w:tcW w:type="dxa" w:w="5860"/>
            <w:tcBorders>
              <w:top w:val="single" w:color="EEEEEE" w:sz="4"/>
              <w:left w:val="single" w:color="EEEEEE" w:sz="4"/>
              <w:bottom w:val="single" w:color="EEEEEE" w:sz="4"/>
              <w:right w:val="single" w:color="EEEEEE" w:sz="4"/>
            </w:tcBorders>
            <w:tcMar>
              <w:top w:type="dxa" w:w="80"/>
              <w:left w:type="dxa" w:w="160"/>
              <w:bottom w:type="dxa" w:w="80"/>
              <w:right w:type="dxa" w:w="200"/>
            </w:tcMar>
          </w:tcPr>
          <w:p>
            <w:r>
              <w:rPr>
                <w:rFonts w:ascii="Montserrat" w:cs="Montserrat" w:eastAsia="Montserrat" w:hAnsi="Montserrat"/>
                <w:color w:val="434343"/>
                <w:sz w:val="20"/>
                <w:szCs w:val="20"/>
              </w:rPr>
              <w:t xml:space="preserve">Reverse / knock-out version. Use on the navy brand colour or dark imagery.</w:t>
            </w:r>
          </w:p>
        </w:tc>
      </w:tr>
    </w:tbl>
    <w:p>
      <w:r>
        <w:t xml:space="preserve"/>
      </w:r>
    </w:p>
    <w:p>
      <w:pPr>
        <w:pStyle w:val="Heading2"/>
      </w:pPr>
      <w:r>
        <w:rPr>
          <w:rFonts w:ascii="Montserrat" w:cs="Montserrat" w:eastAsia="Montserrat" w:hAnsi="Montserrat"/>
          <w:color w:val="0066CC"/>
        </w:rPr>
        <w:t xml:space="preserve">Raster copies</w:t>
      </w:r>
    </w:p>
    <w:p>
      <w:pPr>
        <w:spacing w:after="120"/>
      </w:pPr>
      <w:r>
        <w:rPr>
          <w:rFonts w:ascii="Montserrat" w:cs="Montserrat" w:eastAsia="Montserrat" w:hAnsi="Montserrat"/>
          <w:color w:val="434343"/>
          <w:sz w:val="22"/>
          <w:szCs w:val="22"/>
        </w:rPr>
        <w:t xml:space="preserve">Each SVG has a 2× PNG copy in /brand-assets/png with the suffix @2x.png. Two additional sizes of the mark are included: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W w:type="dxa" w:w="3500"/>
            <w:tcBorders>
              <w:top w:val="single" w:color="EEEEEE" w:sz="4"/>
              <w:left w:val="single" w:color="EEEEEE" w:sz="4"/>
              <w:bottom w:val="single" w:color="EEEEEE" w:sz="4"/>
              <w:right w:val="single" w:color="EEEEEE" w:sz="4"/>
            </w:tcBorders>
            <w:tcMar>
              <w:top w:type="dxa" w:w="80"/>
              <w:left w:type="dxa" w:w="160"/>
              <w:bottom w:type="dxa" w:w="80"/>
              <w:right w:type="dxa" w:w="120"/>
            </w:tcMar>
          </w:tcPr>
          <w:p>
            <w:r>
              <w:rPr>
                <w:rFonts w:ascii="Consolas" w:cs="Consolas" w:eastAsia="Consolas" w:hAnsi="Consolas"/>
                <w:color w:val="0066CC"/>
                <w:sz w:val="20"/>
                <w:szCs w:val="20"/>
              </w:rPr>
              <w:t xml:space="preserve">png/picktwo-mark-64.png</w:t>
            </w:r>
          </w:p>
        </w:tc>
        <w:tc>
          <w:tcPr>
            <w:tcW w:type="dxa" w:w="5860"/>
            <w:tcBorders>
              <w:top w:val="single" w:color="EEEEEE" w:sz="4"/>
              <w:left w:val="single" w:color="EEEEEE" w:sz="4"/>
              <w:bottom w:val="single" w:color="EEEEEE" w:sz="4"/>
              <w:right w:val="single" w:color="EEEEEE" w:sz="4"/>
            </w:tcBorders>
            <w:tcMar>
              <w:top w:type="dxa" w:w="80"/>
              <w:left w:type="dxa" w:w="160"/>
              <w:bottom w:type="dxa" w:w="80"/>
              <w:right w:type="dxa" w:w="200"/>
            </w:tcMar>
          </w:tcPr>
          <w:p>
            <w:r>
              <w:rPr>
                <w:rFonts w:ascii="Montserrat" w:cs="Montserrat" w:eastAsia="Montserrat" w:hAnsi="Montserrat"/>
                <w:color w:val="434343"/>
                <w:sz w:val="20"/>
                <w:szCs w:val="20"/>
              </w:rPr>
              <w:t xml:space="preserve">64 × 64 px — favicon.</w:t>
            </w:r>
          </w:p>
        </w:tc>
      </w:tr>
      <w:tr>
        <w:tc>
          <w:tcPr>
            <w:tcW w:type="dxa" w:w="3500"/>
            <w:tcBorders>
              <w:top w:val="single" w:color="EEEEEE" w:sz="4"/>
              <w:left w:val="single" w:color="EEEEEE" w:sz="4"/>
              <w:bottom w:val="single" w:color="EEEEEE" w:sz="4"/>
              <w:right w:val="single" w:color="EEEEEE" w:sz="4"/>
            </w:tcBorders>
            <w:tcMar>
              <w:top w:type="dxa" w:w="80"/>
              <w:left w:type="dxa" w:w="160"/>
              <w:bottom w:type="dxa" w:w="80"/>
              <w:right w:type="dxa" w:w="120"/>
            </w:tcMar>
          </w:tcPr>
          <w:p>
            <w:r>
              <w:rPr>
                <w:rFonts w:ascii="Consolas" w:cs="Consolas" w:eastAsia="Consolas" w:hAnsi="Consolas"/>
                <w:color w:val="0066CC"/>
                <w:sz w:val="20"/>
                <w:szCs w:val="20"/>
              </w:rPr>
              <w:t xml:space="preserve">png/picktwo-mark-512.png</w:t>
            </w:r>
          </w:p>
        </w:tc>
        <w:tc>
          <w:tcPr>
            <w:tcW w:type="dxa" w:w="5860"/>
            <w:tcBorders>
              <w:top w:val="single" w:color="EEEEEE" w:sz="4"/>
              <w:left w:val="single" w:color="EEEEEE" w:sz="4"/>
              <w:bottom w:val="single" w:color="EEEEEE" w:sz="4"/>
              <w:right w:val="single" w:color="EEEEEE" w:sz="4"/>
            </w:tcBorders>
            <w:tcMar>
              <w:top w:type="dxa" w:w="80"/>
              <w:left w:type="dxa" w:w="160"/>
              <w:bottom w:type="dxa" w:w="80"/>
              <w:right w:type="dxa" w:w="200"/>
            </w:tcMar>
          </w:tcPr>
          <w:p>
            <w:r>
              <w:rPr>
                <w:rFonts w:ascii="Montserrat" w:cs="Montserrat" w:eastAsia="Montserrat" w:hAnsi="Montserrat"/>
                <w:color w:val="434343"/>
                <w:sz w:val="20"/>
                <w:szCs w:val="20"/>
              </w:rPr>
              <w:t xml:space="preserve">512 × 512 px — app icon, store listings.</w:t>
            </w:r>
          </w:p>
        </w:tc>
      </w:tr>
    </w:tbl>
    <w:p>
      <w:r>
        <w:t xml:space="preserve"/>
      </w:r>
    </w:p>
    <w:p>
      <w:pPr>
        <w:pBdr>
          <w:bottom w:val="single" w:color="CCCCCC" w:sz="6" w:space="1"/>
        </w:pBdr>
      </w:pPr>
      <w:r>
        <w:t xml:space="preserve"/>
      </w:r>
    </w:p>
    <w:p>
      <w:pPr>
        <w:spacing w:after="120"/>
        <w:jc w:val="center"/>
      </w:pPr>
      <w:r>
        <w:rPr>
          <w:rFonts w:ascii="Montserrat" w:cs="Montserrat" w:eastAsia="Montserrat" w:hAnsi="Montserrat"/>
          <w:i/>
          <w:iCs/>
          <w:color w:val="999999"/>
          <w:sz w:val="18"/>
          <w:szCs w:val="18"/>
        </w:rPr>
        <w:t xml:space="preserve">For brand questions, contact: support@picktwo.africa</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360"/>
      </w:tabs>
    </w:pPr>
    <w:r>
      <w:rPr>
        <w:rFonts w:ascii="Open Sans" w:cs="Open Sans" w:eastAsia="Open Sans" w:hAnsi="Open Sans"/>
        <w:color w:val="999999"/>
        <w:sz w:val="16"/>
        <w:szCs w:val="16"/>
      </w:rPr>
      <w:t xml:space="preserve">PickTwo Brand Manual  ·  v1.0  ·  May 2026</w:t>
    </w:r>
    <w:r>
      <w:rPr>
        <w:rFonts w:ascii="Open Sans" w:cs="Open Sans" w:eastAsia="Open Sans" w:hAnsi="Open Sans"/>
        <w:color w:val="999999"/>
        <w:sz w:val="16"/>
        <w:szCs w:val="16"/>
      </w:rPr>
      <w:t xml:space="preserve">	Page </w:t>
    </w:r>
    <w:r>
      <w:rPr>
        <w:rFonts w:ascii="Open Sans" w:cs="Open Sans" w:eastAsia="Open Sans" w:hAnsi="Open Sans"/>
        <w:color w:val="99999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ontserrat" w:cs="Montserrat" w:eastAsia="Montserrat" w:hAnsi="Montserrat"/>
        <w:color w:val="43434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Montserrat" w:cs="Montserrat" w:eastAsia="Montserrat" w:hAnsi="Montserrat"/>
      <w:b w:val="false"/>
      <w:bCs w:val="false"/>
      <w:color w:val="002C51"/>
      <w:sz w:val="56"/>
      <w:szCs w:val="56"/>
    </w:rPr>
  </w:style>
  <w:style w:type="paragraph" w:styleId="Heading2">
    <w:name w:val="Heading 2"/>
    <w:basedOn w:val="Normal"/>
    <w:next w:val="Normal"/>
    <w:qFormat/>
    <w:pPr>
      <w:spacing w:after="120" w:before="240"/>
      <w:outlineLvl w:val="1"/>
    </w:pPr>
    <w:rPr>
      <w:rFonts w:ascii="Montserrat" w:cs="Montserrat" w:eastAsia="Montserrat" w:hAnsi="Montserrat"/>
      <w:b/>
      <w:bCs/>
      <w:color w:val="0066CC"/>
      <w:sz w:val="32"/>
      <w:szCs w:val="32"/>
    </w:rPr>
  </w:style>
  <w:style w:type="paragraph" w:styleId="Heading3">
    <w:name w:val="Heading 3"/>
    <w:basedOn w:val="Normal"/>
    <w:next w:val="Normal"/>
    <w:qFormat/>
    <w:pPr>
      <w:spacing w:after="80" w:before="180"/>
      <w:outlineLvl w:val="2"/>
    </w:pPr>
    <w:rPr>
      <w:rFonts w:ascii="Montserrat" w:cs="Montserrat" w:eastAsia="Montserrat" w:hAnsi="Montserrat"/>
      <w:b/>
      <w:bCs/>
      <w:color w:val="002C51"/>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d350ff406bf77279aba64d581f039fb82be51698.png"/><Relationship Id="rId9" Type="http://schemas.openxmlformats.org/officeDocument/2006/relationships/image" Target="media/d3ae957eb2c01498bcc9436c34e0a1baa785d38d.png"/><Relationship Id="rId10" Type="http://schemas.openxmlformats.org/officeDocument/2006/relationships/image" Target="media/874546a3a53539e7a6dd4bc64521ec798b39b3b2.png"/><Relationship Id="rId11" Type="http://schemas.openxmlformats.org/officeDocument/2006/relationships/image" Target="media/36792ca4a560dff3967309860e647438fa88eb5b.png"/><Relationship Id="rId12" Type="http://schemas.openxmlformats.org/officeDocument/2006/relationships/image" Target="media/d4ba0286c1f728801d64f5fc2640931348f5edd5.png"/><Relationship Id="rId13" Type="http://schemas.openxmlformats.org/officeDocument/2006/relationships/image" Target="media/a34a57d39ce76d18f08261df3cf57d0935b78fa2.png"/><Relationship Id="rId14" Type="http://schemas.openxmlformats.org/officeDocument/2006/relationships/image" Target="media/7e5dc78e5b468a007d0fd530d2019a679cd69d57.png"/><Relationship Id="rId15"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PickTwo Brand Manual</dc:title>
  <dc:creator>PickTwo</dc:creator>
  <dc:description>PickTwo brand identity guidelines</dc:description>
  <cp:lastModifiedBy>Un-named</cp:lastModifiedBy>
  <cp:revision>1</cp:revision>
  <dcterms:created xsi:type="dcterms:W3CDTF">2026-05-20T19:36:48.224Z</dcterms:created>
  <dcterms:modified xsi:type="dcterms:W3CDTF">2026-05-20T19:36:48.228Z</dcterms:modified>
</cp:coreProperties>
</file>

<file path=docProps/custom.xml><?xml version="1.0" encoding="utf-8"?>
<Properties xmlns="http://schemas.openxmlformats.org/officeDocument/2006/custom-properties" xmlns:vt="http://schemas.openxmlformats.org/officeDocument/2006/docPropsVTypes"/>
</file>